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251F" w:rsidRPr="008C6D69" w:rsidRDefault="0005251F">
      <w:pPr>
        <w:spacing w:line="600" w:lineRule="exact"/>
        <w:jc w:val="center"/>
        <w:rPr>
          <w:rFonts w:ascii="Times New Roman" w:eastAsia="方正小标宋简体" w:hAnsi="Times New Roman" w:cs="Times New Roman"/>
          <w:sz w:val="44"/>
          <w:szCs w:val="44"/>
        </w:rPr>
      </w:pPr>
      <w:r w:rsidRPr="008C6D69">
        <w:rPr>
          <w:rFonts w:ascii="Times New Roman" w:eastAsia="方正小标宋简体" w:hAnsi="方正小标宋简体" w:cs="Times New Roman"/>
          <w:sz w:val="44"/>
          <w:szCs w:val="44"/>
        </w:rPr>
        <w:t>东莞市</w:t>
      </w:r>
      <w:r w:rsidR="00F90809" w:rsidRPr="008C6D69">
        <w:rPr>
          <w:rFonts w:ascii="Times New Roman" w:eastAsia="方正小标宋简体" w:hAnsi="方正小标宋简体" w:cs="Times New Roman"/>
          <w:sz w:val="44"/>
          <w:szCs w:val="44"/>
        </w:rPr>
        <w:t>企业固定资产投资项目</w:t>
      </w:r>
    </w:p>
    <w:p w:rsidR="003E4661" w:rsidRPr="008C6D69" w:rsidRDefault="00F90809">
      <w:pPr>
        <w:spacing w:line="600" w:lineRule="exact"/>
        <w:jc w:val="center"/>
        <w:rPr>
          <w:rFonts w:ascii="Times New Roman" w:eastAsia="华康简标题宋" w:hAnsi="Times New Roman" w:cs="Times New Roman"/>
          <w:sz w:val="42"/>
          <w:szCs w:val="42"/>
        </w:rPr>
      </w:pPr>
      <w:r w:rsidRPr="008C6D69">
        <w:rPr>
          <w:rFonts w:ascii="Times New Roman" w:eastAsia="方正小标宋简体" w:hAnsi="方正小标宋简体" w:cs="Times New Roman"/>
          <w:sz w:val="44"/>
          <w:szCs w:val="44"/>
        </w:rPr>
        <w:t>节能审查事项实施程序性审查操作细则</w:t>
      </w:r>
    </w:p>
    <w:p w:rsidR="003E4661" w:rsidRPr="008C6D69" w:rsidRDefault="003E4661">
      <w:pPr>
        <w:spacing w:line="600" w:lineRule="exact"/>
        <w:jc w:val="center"/>
        <w:rPr>
          <w:rFonts w:ascii="Times New Roman" w:eastAsia="楷体_GB2312" w:hAnsi="Times New Roman" w:cs="Times New Roman"/>
          <w:sz w:val="30"/>
          <w:szCs w:val="30"/>
        </w:rPr>
      </w:pP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为进一步简化审批环节，加快项目落地速度，根据《东莞市优化建设工程项目审批流程实施办法》的要求，我市企业固定资产投资项目节能审查事项（以下简称节能审查）实施程序性审查。现结合实际，特制订本操作细则。</w:t>
      </w:r>
    </w:p>
    <w:p w:rsidR="003E4661" w:rsidRPr="008C6D69" w:rsidRDefault="00F90809">
      <w:pPr>
        <w:spacing w:line="600" w:lineRule="exact"/>
        <w:ind w:firstLineChars="200" w:firstLine="640"/>
        <w:jc w:val="left"/>
        <w:rPr>
          <w:rFonts w:ascii="Times New Roman" w:eastAsia="黑体" w:hAnsi="Times New Roman" w:cs="Times New Roman"/>
          <w:sz w:val="32"/>
          <w:szCs w:val="32"/>
        </w:rPr>
      </w:pPr>
      <w:r w:rsidRPr="008C6D69">
        <w:rPr>
          <w:rFonts w:ascii="Times New Roman" w:eastAsia="黑体" w:hAnsi="Times New Roman" w:cs="Times New Roman"/>
          <w:sz w:val="32"/>
          <w:szCs w:val="32"/>
        </w:rPr>
        <w:t>一、实施范围</w:t>
      </w:r>
    </w:p>
    <w:p w:rsidR="003E4661" w:rsidRPr="008C6D69" w:rsidRDefault="00F90809">
      <w:pPr>
        <w:autoSpaceDE w:val="0"/>
        <w:autoSpaceDN w:val="0"/>
        <w:adjustRightInd w:val="0"/>
        <w:spacing w:line="600" w:lineRule="exact"/>
        <w:ind w:firstLineChars="200" w:firstLine="640"/>
        <w:jc w:val="left"/>
        <w:rPr>
          <w:rFonts w:ascii="Times New Roman" w:eastAsia="仿宋_GB2312" w:hAnsi="Times New Roman" w:cs="Times New Roman"/>
          <w:kern w:val="0"/>
          <w:sz w:val="32"/>
          <w:szCs w:val="32"/>
        </w:rPr>
      </w:pPr>
      <w:r w:rsidRPr="008C6D69">
        <w:rPr>
          <w:rFonts w:ascii="Times New Roman" w:eastAsia="仿宋_GB2312" w:hAnsi="Times New Roman" w:cs="Times New Roman"/>
          <w:kern w:val="0"/>
          <w:sz w:val="32"/>
          <w:szCs w:val="32"/>
        </w:rPr>
        <w:t>全市范围内的年</w:t>
      </w:r>
      <w:r w:rsidRPr="008C6D69">
        <w:rPr>
          <w:rFonts w:ascii="Times New Roman" w:eastAsia="仿宋_GB2312" w:hAnsi="Times New Roman" w:cs="Times New Roman"/>
          <w:sz w:val="32"/>
          <w:szCs w:val="32"/>
        </w:rPr>
        <w:t>新增</w:t>
      </w:r>
      <w:r w:rsidRPr="008C6D69">
        <w:rPr>
          <w:rFonts w:ascii="Times New Roman" w:eastAsia="仿宋_GB2312" w:hAnsi="Times New Roman" w:cs="Times New Roman"/>
          <w:sz w:val="32"/>
          <w:szCs w:val="32"/>
        </w:rPr>
        <w:t>500</w:t>
      </w:r>
      <w:r w:rsidRPr="008C6D69">
        <w:rPr>
          <w:rFonts w:ascii="Times New Roman" w:eastAsia="仿宋_GB2312" w:hAnsi="Times New Roman" w:cs="Times New Roman"/>
          <w:sz w:val="32"/>
          <w:szCs w:val="32"/>
        </w:rPr>
        <w:t>万千瓦时（含）以上或综合能耗在</w:t>
      </w:r>
      <w:r w:rsidRPr="008C6D69">
        <w:rPr>
          <w:rFonts w:ascii="Times New Roman" w:eastAsia="仿宋_GB2312" w:hAnsi="Times New Roman" w:cs="Times New Roman"/>
          <w:sz w:val="32"/>
          <w:szCs w:val="32"/>
        </w:rPr>
        <w:t xml:space="preserve">1000 </w:t>
      </w:r>
      <w:r w:rsidRPr="008C6D69">
        <w:rPr>
          <w:rFonts w:ascii="Times New Roman" w:eastAsia="仿宋_GB2312" w:hAnsi="Times New Roman" w:cs="Times New Roman"/>
          <w:sz w:val="32"/>
          <w:szCs w:val="32"/>
        </w:rPr>
        <w:t>吨（含）－</w:t>
      </w:r>
      <w:r w:rsidRPr="008C6D69">
        <w:rPr>
          <w:rFonts w:ascii="Times New Roman" w:eastAsia="仿宋_GB2312" w:hAnsi="Times New Roman" w:cs="Times New Roman"/>
          <w:sz w:val="32"/>
          <w:szCs w:val="32"/>
        </w:rPr>
        <w:t xml:space="preserve">5000 </w:t>
      </w:r>
      <w:r w:rsidRPr="008C6D69">
        <w:rPr>
          <w:rFonts w:ascii="Times New Roman" w:eastAsia="仿宋_GB2312" w:hAnsi="Times New Roman" w:cs="Times New Roman"/>
          <w:sz w:val="32"/>
          <w:szCs w:val="32"/>
        </w:rPr>
        <w:t>吨标煤（不含）</w:t>
      </w:r>
      <w:r w:rsidRPr="008C6D69">
        <w:rPr>
          <w:rFonts w:ascii="Times New Roman" w:eastAsia="仿宋_GB2312" w:hAnsi="Times New Roman" w:cs="Times New Roman"/>
          <w:kern w:val="0"/>
          <w:sz w:val="32"/>
          <w:szCs w:val="32"/>
        </w:rPr>
        <w:t>之间的固定资产投资项目（改扩建项目按照建成投产后年综合能源消费增量计算，电力折算系数按当量值）。《广东省主体功能区产业发展指导目录（</w:t>
      </w:r>
      <w:r w:rsidRPr="008C6D69">
        <w:rPr>
          <w:rFonts w:ascii="Times New Roman" w:eastAsia="仿宋_GB2312" w:hAnsi="Times New Roman" w:cs="Times New Roman"/>
          <w:kern w:val="0"/>
          <w:sz w:val="32"/>
          <w:szCs w:val="32"/>
        </w:rPr>
        <w:t>2014</w:t>
      </w:r>
      <w:r w:rsidRPr="008C6D69">
        <w:rPr>
          <w:rFonts w:ascii="Times New Roman" w:eastAsia="仿宋_GB2312" w:hAnsi="Times New Roman" w:cs="Times New Roman"/>
          <w:kern w:val="0"/>
          <w:sz w:val="32"/>
          <w:szCs w:val="32"/>
        </w:rPr>
        <w:t>年本）》明令限制、禁止、淘汰的投资项目，数据中心等高能耗项目，六大高能耗行业投资项目除外。</w:t>
      </w:r>
    </w:p>
    <w:p w:rsidR="003E4661" w:rsidRPr="008C6D69" w:rsidRDefault="00F90809">
      <w:pPr>
        <w:spacing w:line="600" w:lineRule="exact"/>
        <w:ind w:firstLineChars="200" w:firstLine="640"/>
        <w:jc w:val="left"/>
        <w:rPr>
          <w:rFonts w:ascii="Times New Roman" w:eastAsia="黑体" w:hAnsi="Times New Roman" w:cs="Times New Roman"/>
          <w:sz w:val="32"/>
          <w:szCs w:val="32"/>
        </w:rPr>
      </w:pPr>
      <w:r w:rsidRPr="008C6D69">
        <w:rPr>
          <w:rFonts w:ascii="Times New Roman" w:eastAsia="黑体" w:hAnsi="Times New Roman" w:cs="Times New Roman"/>
          <w:sz w:val="32"/>
          <w:szCs w:val="32"/>
        </w:rPr>
        <w:t>二、技术规范及政策标准</w:t>
      </w:r>
    </w:p>
    <w:p w:rsidR="003E4661" w:rsidRPr="008C6D69" w:rsidRDefault="00F90809">
      <w:pPr>
        <w:autoSpaceDE w:val="0"/>
        <w:autoSpaceDN w:val="0"/>
        <w:adjustRightInd w:val="0"/>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（一）符合国家和省的法律法规、行业技术规范。</w:t>
      </w:r>
    </w:p>
    <w:p w:rsidR="003E4661" w:rsidRPr="008C6D69" w:rsidRDefault="00F90809">
      <w:pPr>
        <w:autoSpaceDE w:val="0"/>
        <w:autoSpaceDN w:val="0"/>
        <w:adjustRightInd w:val="0"/>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（二）工业项目需符合《东莞市</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十三五</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期间工业行业能耗控制实施方案》（东经信〔</w:t>
      </w:r>
      <w:r w:rsidRPr="008C6D69">
        <w:rPr>
          <w:rFonts w:ascii="Times New Roman" w:eastAsia="仿宋_GB2312" w:hAnsi="Times New Roman" w:cs="Times New Roman"/>
          <w:sz w:val="32"/>
          <w:szCs w:val="32"/>
        </w:rPr>
        <w:t>2017</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243</w:t>
      </w:r>
      <w:r w:rsidRPr="008C6D69">
        <w:rPr>
          <w:rFonts w:ascii="Times New Roman" w:eastAsia="仿宋_GB2312" w:hAnsi="Times New Roman" w:cs="Times New Roman"/>
          <w:sz w:val="32"/>
          <w:szCs w:val="32"/>
        </w:rPr>
        <w:t>号）的单位工业增加值能耗－增量准入评价值。</w:t>
      </w:r>
    </w:p>
    <w:p w:rsidR="003E4661" w:rsidRPr="008C6D69" w:rsidRDefault="00F90809">
      <w:pPr>
        <w:spacing w:line="600" w:lineRule="exact"/>
        <w:ind w:firstLineChars="200" w:firstLine="640"/>
        <w:jc w:val="left"/>
        <w:rPr>
          <w:rFonts w:ascii="Times New Roman" w:eastAsia="黑体" w:hAnsi="Times New Roman" w:cs="Times New Roman"/>
          <w:sz w:val="32"/>
          <w:szCs w:val="32"/>
        </w:rPr>
      </w:pPr>
      <w:r w:rsidRPr="008C6D69">
        <w:rPr>
          <w:rFonts w:ascii="Times New Roman" w:eastAsia="黑体" w:hAnsi="Times New Roman" w:cs="Times New Roman"/>
          <w:sz w:val="32"/>
          <w:szCs w:val="32"/>
        </w:rPr>
        <w:t>三、收件要求</w:t>
      </w:r>
    </w:p>
    <w:p w:rsidR="003E4661" w:rsidRPr="008C6D69" w:rsidRDefault="00F90809">
      <w:pPr>
        <w:autoSpaceDE w:val="0"/>
        <w:autoSpaceDN w:val="0"/>
        <w:adjustRightInd w:val="0"/>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（一）项目建设单位自主或委托中介服务机构编制项目节能报告，依据规范设计论证，自主把关。</w:t>
      </w:r>
    </w:p>
    <w:p w:rsidR="003E4661" w:rsidRPr="008C6D69" w:rsidRDefault="00F90809">
      <w:pPr>
        <w:autoSpaceDE w:val="0"/>
        <w:autoSpaceDN w:val="0"/>
        <w:adjustRightInd w:val="0"/>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lastRenderedPageBreak/>
        <w:t>（二）项目能耗指标表。</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黑体" w:hAnsi="Times New Roman" w:cs="Times New Roman"/>
          <w:sz w:val="32"/>
          <w:szCs w:val="32"/>
        </w:rPr>
        <w:t>四、办理流程</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（一）项目建设单位提交申请。项目建设单位在网上登录</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广东省政务服务网（</w:t>
      </w:r>
      <w:hyperlink r:id="rId8" w:history="1">
        <w:r w:rsidRPr="008C6D69">
          <w:rPr>
            <w:rStyle w:val="a7"/>
            <w:rFonts w:ascii="Times New Roman" w:eastAsia="仿宋_GB2312" w:hAnsi="Times New Roman" w:cs="Times New Roman"/>
            <w:color w:val="auto"/>
            <w:sz w:val="32"/>
            <w:szCs w:val="32"/>
          </w:rPr>
          <w:t>www.gdzwfw.gov.cn</w:t>
        </w:r>
      </w:hyperlink>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，按要求提交申请及填报相关材料。其中，市经济和信息化局负责办理工业、信息化领域技术改造项目节能审查；市发展和</w:t>
      </w:r>
      <w:proofErr w:type="gramStart"/>
      <w:r w:rsidRPr="008C6D69">
        <w:rPr>
          <w:rFonts w:ascii="Times New Roman" w:eastAsia="仿宋_GB2312" w:hAnsi="Times New Roman" w:cs="Times New Roman"/>
          <w:sz w:val="32"/>
          <w:szCs w:val="32"/>
        </w:rPr>
        <w:t>改革局负责其余投资</w:t>
      </w:r>
      <w:proofErr w:type="gramEnd"/>
      <w:r w:rsidRPr="008C6D69">
        <w:rPr>
          <w:rFonts w:ascii="Times New Roman" w:eastAsia="仿宋_GB2312" w:hAnsi="Times New Roman" w:cs="Times New Roman"/>
          <w:sz w:val="32"/>
          <w:szCs w:val="32"/>
        </w:rPr>
        <w:t>项目节能审查。</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（二）节能审查部门</w:t>
      </w:r>
      <w:proofErr w:type="gramStart"/>
      <w:r w:rsidRPr="008C6D69">
        <w:rPr>
          <w:rFonts w:ascii="Times New Roman" w:eastAsia="仿宋_GB2312" w:hAnsi="Times New Roman" w:cs="Times New Roman"/>
          <w:sz w:val="32"/>
          <w:szCs w:val="32"/>
        </w:rPr>
        <w:t>作出</w:t>
      </w:r>
      <w:proofErr w:type="gramEnd"/>
      <w:r w:rsidRPr="008C6D69">
        <w:rPr>
          <w:rFonts w:ascii="Times New Roman" w:eastAsia="仿宋_GB2312" w:hAnsi="Times New Roman" w:cs="Times New Roman"/>
          <w:sz w:val="32"/>
          <w:szCs w:val="32"/>
        </w:rPr>
        <w:t>是否受理申请决定。节能审查部门对不属于实施范围项目或资料不符合要求的项目，一个工作日内告知项目单位，并</w:t>
      </w:r>
      <w:proofErr w:type="gramStart"/>
      <w:r w:rsidRPr="008C6D69">
        <w:rPr>
          <w:rFonts w:ascii="Times New Roman" w:eastAsia="仿宋_GB2312" w:hAnsi="Times New Roman" w:cs="Times New Roman"/>
          <w:sz w:val="32"/>
          <w:szCs w:val="32"/>
        </w:rPr>
        <w:t>作退件处理</w:t>
      </w:r>
      <w:proofErr w:type="gramEnd"/>
      <w:r w:rsidRPr="008C6D69">
        <w:rPr>
          <w:rFonts w:ascii="Times New Roman" w:eastAsia="仿宋_GB2312" w:hAnsi="Times New Roman" w:cs="Times New Roman"/>
          <w:sz w:val="32"/>
          <w:szCs w:val="32"/>
        </w:rPr>
        <w:t>。</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（三）节能审查部门进行程序性审查。节能审查部门对项目单位提交的资料进行程序性审查，对符合实施范围、资料齐备规范的项目，一个工作日内出具项目节能审查意见，不承担实质性审查责任。</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（四）关于节能审查意见时效、延期或变更。节能审查意见自印发之日起</w:t>
      </w:r>
      <w:r w:rsidRPr="008C6D69">
        <w:rPr>
          <w:rFonts w:ascii="Times New Roman" w:eastAsia="仿宋_GB2312" w:hAnsi="Times New Roman" w:cs="Times New Roman"/>
          <w:sz w:val="32"/>
          <w:szCs w:val="32"/>
        </w:rPr>
        <w:t>2</w:t>
      </w:r>
      <w:r w:rsidRPr="008C6D69">
        <w:rPr>
          <w:rFonts w:ascii="Times New Roman" w:eastAsia="仿宋_GB2312" w:hAnsi="Times New Roman" w:cs="Times New Roman"/>
          <w:sz w:val="32"/>
          <w:szCs w:val="32"/>
        </w:rPr>
        <w:t>年内有效。有效期内未开工建设，应在有效期满前</w:t>
      </w:r>
      <w:r w:rsidRPr="008C6D69">
        <w:rPr>
          <w:rFonts w:ascii="Times New Roman" w:eastAsia="仿宋_GB2312" w:hAnsi="Times New Roman" w:cs="Times New Roman"/>
          <w:sz w:val="32"/>
          <w:szCs w:val="32"/>
        </w:rPr>
        <w:t>30</w:t>
      </w:r>
      <w:r w:rsidRPr="008C6D69">
        <w:rPr>
          <w:rFonts w:ascii="Times New Roman" w:eastAsia="仿宋_GB2312" w:hAnsi="Times New Roman" w:cs="Times New Roman"/>
          <w:sz w:val="32"/>
          <w:szCs w:val="32"/>
        </w:rPr>
        <w:t>个工作日之前，向出具审查意见的节能审查部门申请延期，审查意见延期的期限不超过</w:t>
      </w:r>
      <w:r w:rsidRPr="008C6D69">
        <w:rPr>
          <w:rFonts w:ascii="Times New Roman" w:eastAsia="仿宋_GB2312" w:hAnsi="Times New Roman" w:cs="Times New Roman"/>
          <w:sz w:val="32"/>
          <w:szCs w:val="32"/>
        </w:rPr>
        <w:t>1</w:t>
      </w:r>
      <w:r w:rsidRPr="008C6D69">
        <w:rPr>
          <w:rFonts w:ascii="Times New Roman" w:eastAsia="仿宋_GB2312" w:hAnsi="Times New Roman" w:cs="Times New Roman"/>
          <w:sz w:val="32"/>
          <w:szCs w:val="32"/>
        </w:rPr>
        <w:t>年。通过审查的项目，建设内容、能效水平等发生重大变更，导致年综合能源消费量增量超过</w:t>
      </w:r>
      <w:r w:rsidRPr="008C6D69">
        <w:rPr>
          <w:rFonts w:ascii="Times New Roman" w:eastAsia="仿宋_GB2312" w:hAnsi="Times New Roman" w:cs="Times New Roman"/>
          <w:sz w:val="32"/>
          <w:szCs w:val="32"/>
        </w:rPr>
        <w:t>200</w:t>
      </w:r>
      <w:r w:rsidRPr="008C6D69">
        <w:rPr>
          <w:rFonts w:ascii="Times New Roman" w:eastAsia="仿宋_GB2312" w:hAnsi="Times New Roman" w:cs="Times New Roman"/>
          <w:sz w:val="32"/>
          <w:szCs w:val="32"/>
        </w:rPr>
        <w:t>吨标准煤且增加比例超过</w:t>
      </w:r>
      <w:r w:rsidRPr="008C6D69">
        <w:rPr>
          <w:rFonts w:ascii="Times New Roman" w:eastAsia="仿宋_GB2312" w:hAnsi="Times New Roman" w:cs="Times New Roman"/>
          <w:sz w:val="32"/>
          <w:szCs w:val="32"/>
        </w:rPr>
        <w:t>10%</w:t>
      </w:r>
      <w:r w:rsidRPr="008C6D69">
        <w:rPr>
          <w:rFonts w:ascii="Times New Roman" w:eastAsia="仿宋_GB2312" w:hAnsi="Times New Roman" w:cs="Times New Roman"/>
          <w:sz w:val="32"/>
          <w:szCs w:val="32"/>
        </w:rPr>
        <w:t>，或主要能效指标调整超过</w:t>
      </w:r>
      <w:r w:rsidRPr="008C6D69">
        <w:rPr>
          <w:rFonts w:ascii="Times New Roman" w:eastAsia="仿宋_GB2312" w:hAnsi="Times New Roman" w:cs="Times New Roman"/>
          <w:sz w:val="32"/>
          <w:szCs w:val="32"/>
        </w:rPr>
        <w:t>20%</w:t>
      </w:r>
      <w:r w:rsidRPr="008C6D69">
        <w:rPr>
          <w:rFonts w:ascii="Times New Roman" w:eastAsia="仿宋_GB2312" w:hAnsi="Times New Roman" w:cs="Times New Roman"/>
          <w:sz w:val="32"/>
          <w:szCs w:val="32"/>
        </w:rPr>
        <w:t>，需要重新提交资料按《广东省固定资产投资项目节能审查实施办法》进行节能审查，不再适用程序性审查。需单独进行节能审查的行业目录，因建设</w:t>
      </w:r>
      <w:r w:rsidRPr="008C6D69">
        <w:rPr>
          <w:rFonts w:ascii="Times New Roman" w:eastAsia="仿宋_GB2312" w:hAnsi="Times New Roman" w:cs="Times New Roman"/>
          <w:sz w:val="32"/>
          <w:szCs w:val="32"/>
        </w:rPr>
        <w:lastRenderedPageBreak/>
        <w:t>内容、能效水平等发生重大变更，导致年综合能源消耗总量达到</w:t>
      </w:r>
      <w:r w:rsidRPr="008C6D69">
        <w:rPr>
          <w:rFonts w:ascii="Times New Roman" w:eastAsia="仿宋_GB2312" w:hAnsi="Times New Roman" w:cs="Times New Roman"/>
          <w:sz w:val="32"/>
          <w:szCs w:val="32"/>
        </w:rPr>
        <w:t>1000</w:t>
      </w:r>
      <w:r w:rsidRPr="008C6D69">
        <w:rPr>
          <w:rFonts w:ascii="Times New Roman" w:eastAsia="仿宋_GB2312" w:hAnsi="Times New Roman" w:cs="Times New Roman"/>
          <w:sz w:val="32"/>
          <w:szCs w:val="32"/>
        </w:rPr>
        <w:t>吨标准煤以上或电力消费（增量）达到</w:t>
      </w:r>
      <w:r w:rsidRPr="008C6D69">
        <w:rPr>
          <w:rFonts w:ascii="Times New Roman" w:eastAsia="仿宋_GB2312" w:hAnsi="Times New Roman" w:cs="Times New Roman"/>
          <w:sz w:val="32"/>
          <w:szCs w:val="32"/>
        </w:rPr>
        <w:t>500</w:t>
      </w:r>
      <w:r w:rsidRPr="008C6D69">
        <w:rPr>
          <w:rFonts w:ascii="Times New Roman" w:eastAsia="仿宋_GB2312" w:hAnsi="Times New Roman" w:cs="Times New Roman"/>
          <w:sz w:val="32"/>
          <w:szCs w:val="32"/>
        </w:rPr>
        <w:t>万千瓦时以上，建设单位应按照本操作细则申请节能审查。</w:t>
      </w:r>
    </w:p>
    <w:p w:rsidR="003E4661" w:rsidRPr="008C6D69" w:rsidRDefault="00F90809">
      <w:pPr>
        <w:spacing w:line="600" w:lineRule="exact"/>
        <w:ind w:firstLineChars="200" w:firstLine="640"/>
        <w:jc w:val="left"/>
        <w:rPr>
          <w:rFonts w:ascii="Times New Roman" w:eastAsia="黑体" w:hAnsi="Times New Roman" w:cs="Times New Roman"/>
          <w:sz w:val="32"/>
          <w:szCs w:val="32"/>
        </w:rPr>
      </w:pPr>
      <w:r w:rsidRPr="008C6D69">
        <w:rPr>
          <w:rFonts w:ascii="Times New Roman" w:eastAsia="黑体" w:hAnsi="Times New Roman" w:cs="Times New Roman"/>
          <w:sz w:val="32"/>
          <w:szCs w:val="32"/>
        </w:rPr>
        <w:t>五、监督管理</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节能审查部门会同有关职能部门对节能审查意见落实情况进行节能监察，依法建立健全节能监察体系，做好节能审查事中事后监管工作。</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（一）实施定期报告制度。项目建设单位在取得节能审查意见后，应落实相关措施，分别在项目动工、工程建设投资进度完成</w:t>
      </w:r>
      <w:r w:rsidRPr="008C6D69">
        <w:rPr>
          <w:rFonts w:ascii="Times New Roman" w:eastAsia="仿宋_GB2312" w:hAnsi="Times New Roman" w:cs="Times New Roman"/>
          <w:sz w:val="32"/>
          <w:szCs w:val="32"/>
        </w:rPr>
        <w:t>50%</w:t>
      </w:r>
      <w:r w:rsidRPr="008C6D69">
        <w:rPr>
          <w:rFonts w:ascii="Times New Roman" w:eastAsia="仿宋_GB2312" w:hAnsi="Times New Roman" w:cs="Times New Roman"/>
          <w:sz w:val="32"/>
          <w:szCs w:val="32"/>
        </w:rPr>
        <w:t>、项目试运行第四个月</w:t>
      </w:r>
      <w:r w:rsidRPr="008C6D69">
        <w:rPr>
          <w:rFonts w:ascii="Times New Roman" w:eastAsia="仿宋_GB2312" w:hAnsi="Times New Roman" w:cs="Times New Roman"/>
          <w:sz w:val="32"/>
          <w:szCs w:val="32"/>
        </w:rPr>
        <w:t>5</w:t>
      </w:r>
      <w:r w:rsidRPr="008C6D69">
        <w:rPr>
          <w:rFonts w:ascii="Times New Roman" w:eastAsia="仿宋_GB2312" w:hAnsi="Times New Roman" w:cs="Times New Roman"/>
          <w:sz w:val="32"/>
          <w:szCs w:val="32"/>
        </w:rPr>
        <w:t>日前，须将节能工作进展情况书面报告节能审查部门。书面报告内容包括生产工艺、用能工艺、主要用能设备耗能情况，能耗种类、数量以及与相关能效标准的对比情况等。此外，重大问题及时报告。</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二）实施适时抽检制度。在项目实施过程中，节能审查部门配合省节能审查部门开展现场巡查，或联合相关职能部门进行抽检，就项目涉及的产业政策、生产工艺、主要用能设备选型、节能措施等内容与项目能耗指标表进行一致性检查，发现问题的，及时督促企业整改。</w:t>
      </w:r>
    </w:p>
    <w:p w:rsidR="003E4661" w:rsidRPr="008C6D69" w:rsidRDefault="00F90809">
      <w:pPr>
        <w:spacing w:line="600" w:lineRule="exact"/>
        <w:ind w:firstLineChars="200" w:firstLine="640"/>
        <w:jc w:val="left"/>
        <w:rPr>
          <w:rFonts w:ascii="Times New Roman" w:eastAsia="仿宋_GB2312" w:hAnsi="Times New Roman" w:cs="Times New Roman"/>
          <w:b/>
          <w:sz w:val="32"/>
          <w:szCs w:val="32"/>
        </w:rPr>
      </w:pPr>
      <w:r w:rsidRPr="008C6D69">
        <w:rPr>
          <w:rFonts w:ascii="Times New Roman" w:eastAsia="仿宋_GB2312" w:hAnsi="Times New Roman" w:cs="Times New Roman"/>
          <w:sz w:val="32"/>
          <w:szCs w:val="32"/>
        </w:rPr>
        <w:t>（三）实施项目验收制度。项目建设单位在项目投入生产、使用前，应组织对节能审查意见落实情况进行验收，并将节能验收情况报备节能审查部门。凡是验收不合格的，一律不得投产。</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lastRenderedPageBreak/>
        <w:t>（四）实施在线监测制度。项目建设单位在项目建设时，应同步建设能耗在线监测系统，通过计量仪表、工控系统等采集、汇总本项目能耗数据，将数据上传至东莞市能源管理中心平台，半年后正式实施在线监测。对能耗在线监测数据异常的，经核查能耗超出节能验收时能源消费总量的，责令限期整改。</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对未按操作细则规定进行节能审查，或节能审查及验收未获通过，擅自开工建设或擅自投入生产、使用的固定资产投资项目，由节能审查部门责令停止建设或停止生产、使用，限期改造。不能改造或逾期不改造的生产性项目，由节能审查部门报请同级人民政府按照规定权限责令关闭，并依法追究有关责任人的责任；逾期拒不关闭的，由节能审查部门将项目建设单位及主要责任人记入严重失信名单。</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建设单位以拆分项目、提供虚假材料等不正当手段通过节能审查的，由节能审查部门撤销项目的节能审查意见。</w:t>
      </w:r>
    </w:p>
    <w:p w:rsidR="003E4661" w:rsidRPr="008C6D69" w:rsidRDefault="00F90809">
      <w:pPr>
        <w:spacing w:line="600" w:lineRule="exact"/>
        <w:ind w:firstLineChars="200" w:firstLine="640"/>
        <w:jc w:val="left"/>
        <w:rPr>
          <w:rFonts w:ascii="Times New Roman" w:eastAsia="黑体" w:hAnsi="Times New Roman" w:cs="Times New Roman"/>
          <w:sz w:val="32"/>
          <w:szCs w:val="32"/>
        </w:rPr>
      </w:pPr>
      <w:r w:rsidRPr="008C6D69">
        <w:rPr>
          <w:rFonts w:ascii="Times New Roman" w:eastAsia="黑体" w:hAnsi="Times New Roman" w:cs="Times New Roman"/>
          <w:sz w:val="32"/>
          <w:szCs w:val="32"/>
        </w:rPr>
        <w:t>六、信用惩戒</w:t>
      </w:r>
    </w:p>
    <w:p w:rsidR="003E4661" w:rsidRPr="008C6D69" w:rsidRDefault="00F90809">
      <w:pPr>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节能审查部门对项目建设单位或中介服务机构因弄虚作假导致项目节能报告、项目能耗表等内容严重失实或质量明显不符合要求的违法违规失信行为，责令改正并依法予以处罚，同时，节能审查部门对上述违法违规失信行为建立信用纪录，并纳入东莞市公共信用信息管理平台管理依法向社会公开，实施多部门联合惩戒。具体惩戒处理措施按《东莞市优化建设工程项目审批流程实施办法》有关审批管理配套</w:t>
      </w:r>
      <w:r w:rsidRPr="008C6D69">
        <w:rPr>
          <w:rFonts w:ascii="Times New Roman" w:eastAsia="仿宋_GB2312" w:hAnsi="Times New Roman" w:cs="Times New Roman"/>
          <w:sz w:val="32"/>
          <w:szCs w:val="32"/>
        </w:rPr>
        <w:lastRenderedPageBreak/>
        <w:t>措施执行。</w:t>
      </w:r>
    </w:p>
    <w:p w:rsidR="003E4661" w:rsidRPr="008C6D69" w:rsidRDefault="00F90809">
      <w:pPr>
        <w:spacing w:line="600" w:lineRule="exact"/>
        <w:ind w:firstLineChars="200" w:firstLine="640"/>
        <w:jc w:val="left"/>
        <w:rPr>
          <w:rFonts w:ascii="Times New Roman" w:eastAsia="黑体" w:hAnsi="Times New Roman" w:cs="Times New Roman"/>
          <w:sz w:val="32"/>
          <w:szCs w:val="32"/>
        </w:rPr>
      </w:pPr>
      <w:r w:rsidRPr="008C6D69">
        <w:rPr>
          <w:rFonts w:ascii="Times New Roman" w:eastAsia="黑体" w:hAnsi="Times New Roman" w:cs="Times New Roman"/>
          <w:sz w:val="32"/>
          <w:szCs w:val="32"/>
        </w:rPr>
        <w:t>七、附则</w:t>
      </w:r>
    </w:p>
    <w:p w:rsidR="003E4661" w:rsidRPr="008C6D69" w:rsidRDefault="00F90809">
      <w:pPr>
        <w:adjustRightInd w:val="0"/>
        <w:snapToGrid w:val="0"/>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（一）本操作细则由市发展和改革局、市经济和信息化局负责解释。</w:t>
      </w:r>
    </w:p>
    <w:p w:rsidR="003E4661" w:rsidRPr="008C6D69" w:rsidRDefault="00F90809">
      <w:pPr>
        <w:adjustRightInd w:val="0"/>
        <w:snapToGrid w:val="0"/>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（二）本操作细则自</w:t>
      </w:r>
      <w:r w:rsidRPr="008C6D69">
        <w:rPr>
          <w:rFonts w:ascii="Times New Roman" w:eastAsia="仿宋_GB2312" w:hAnsi="Times New Roman" w:cs="Times New Roman"/>
          <w:sz w:val="32"/>
          <w:szCs w:val="32"/>
        </w:rPr>
        <w:t>2018</w:t>
      </w:r>
      <w:r w:rsidRPr="008C6D69">
        <w:rPr>
          <w:rFonts w:ascii="Times New Roman" w:eastAsia="仿宋_GB2312" w:hAnsi="Times New Roman" w:cs="Times New Roman"/>
          <w:sz w:val="32"/>
          <w:szCs w:val="32"/>
        </w:rPr>
        <w:t>年</w:t>
      </w:r>
      <w:r w:rsidRPr="008C6D69">
        <w:rPr>
          <w:rFonts w:ascii="Times New Roman" w:eastAsia="仿宋_GB2312" w:hAnsi="Times New Roman" w:cs="Times New Roman"/>
          <w:sz w:val="32"/>
          <w:szCs w:val="32"/>
        </w:rPr>
        <w:t>10</w:t>
      </w:r>
      <w:r w:rsidRPr="008C6D69">
        <w:rPr>
          <w:rFonts w:ascii="Times New Roman" w:eastAsia="仿宋_GB2312" w:hAnsi="Times New Roman" w:cs="Times New Roman"/>
          <w:sz w:val="32"/>
          <w:szCs w:val="32"/>
        </w:rPr>
        <w:t>月</w:t>
      </w:r>
      <w:r w:rsidR="0091298D" w:rsidRPr="008C6D69">
        <w:rPr>
          <w:rFonts w:ascii="Times New Roman" w:eastAsia="仿宋_GB2312" w:hAnsi="Times New Roman" w:cs="Times New Roman"/>
          <w:sz w:val="32"/>
          <w:szCs w:val="32"/>
        </w:rPr>
        <w:t>31</w:t>
      </w:r>
      <w:r w:rsidRPr="008C6D69">
        <w:rPr>
          <w:rFonts w:ascii="Times New Roman" w:eastAsia="仿宋_GB2312" w:hAnsi="Times New Roman" w:cs="Times New Roman"/>
          <w:sz w:val="32"/>
          <w:szCs w:val="32"/>
        </w:rPr>
        <w:t>日起施行，有效期至</w:t>
      </w:r>
      <w:r w:rsidRPr="008C6D69">
        <w:rPr>
          <w:rFonts w:ascii="Times New Roman" w:eastAsia="仿宋_GB2312" w:hAnsi="Times New Roman" w:cs="Times New Roman"/>
          <w:sz w:val="32"/>
          <w:szCs w:val="32"/>
        </w:rPr>
        <w:t>2020</w:t>
      </w:r>
      <w:r w:rsidRPr="008C6D69">
        <w:rPr>
          <w:rFonts w:ascii="Times New Roman" w:eastAsia="仿宋_GB2312" w:hAnsi="Times New Roman" w:cs="Times New Roman"/>
          <w:sz w:val="32"/>
          <w:szCs w:val="32"/>
        </w:rPr>
        <w:t>年</w:t>
      </w:r>
      <w:r w:rsidRPr="008C6D69">
        <w:rPr>
          <w:rFonts w:ascii="Times New Roman" w:eastAsia="仿宋_GB2312" w:hAnsi="Times New Roman" w:cs="Times New Roman"/>
          <w:sz w:val="32"/>
          <w:szCs w:val="32"/>
        </w:rPr>
        <w:t>10</w:t>
      </w:r>
      <w:r w:rsidRPr="008C6D69">
        <w:rPr>
          <w:rFonts w:ascii="Times New Roman" w:eastAsia="仿宋_GB2312" w:hAnsi="Times New Roman" w:cs="Times New Roman"/>
          <w:sz w:val="32"/>
          <w:szCs w:val="32"/>
        </w:rPr>
        <w:t>月</w:t>
      </w:r>
      <w:r w:rsidR="0091298D" w:rsidRPr="008C6D69">
        <w:rPr>
          <w:rFonts w:ascii="Times New Roman" w:eastAsia="仿宋_GB2312" w:hAnsi="Times New Roman" w:cs="Times New Roman"/>
          <w:sz w:val="32"/>
          <w:szCs w:val="32"/>
        </w:rPr>
        <w:t>31</w:t>
      </w:r>
      <w:r w:rsidRPr="008C6D69">
        <w:rPr>
          <w:rFonts w:ascii="Times New Roman" w:eastAsia="仿宋_GB2312" w:hAnsi="Times New Roman" w:cs="Times New Roman"/>
          <w:sz w:val="32"/>
          <w:szCs w:val="32"/>
        </w:rPr>
        <w:t>日。</w:t>
      </w:r>
    </w:p>
    <w:p w:rsidR="003E4661" w:rsidRPr="008C6D69" w:rsidRDefault="003E4661">
      <w:pPr>
        <w:spacing w:line="600" w:lineRule="exact"/>
        <w:ind w:firstLine="624"/>
        <w:jc w:val="left"/>
        <w:rPr>
          <w:rFonts w:ascii="Times New Roman" w:eastAsia="黑体" w:hAnsi="Times New Roman" w:cs="Times New Roman"/>
          <w:sz w:val="32"/>
          <w:szCs w:val="32"/>
        </w:rPr>
      </w:pPr>
    </w:p>
    <w:p w:rsidR="003E4661" w:rsidRPr="008C6D69" w:rsidRDefault="00F90809">
      <w:pPr>
        <w:spacing w:line="600" w:lineRule="exact"/>
        <w:ind w:leftChars="364" w:left="1700" w:hanging="936"/>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附件：</w:t>
      </w:r>
      <w:r w:rsidRPr="008C6D69">
        <w:rPr>
          <w:rFonts w:ascii="Times New Roman" w:eastAsia="仿宋_GB2312" w:hAnsi="Times New Roman" w:cs="Times New Roman"/>
          <w:sz w:val="32"/>
          <w:szCs w:val="32"/>
        </w:rPr>
        <w:t xml:space="preserve">1. </w:t>
      </w:r>
      <w:r w:rsidRPr="008C6D69">
        <w:rPr>
          <w:rFonts w:ascii="Times New Roman" w:eastAsia="仿宋_GB2312" w:hAnsi="Times New Roman" w:cs="Times New Roman"/>
          <w:sz w:val="32"/>
          <w:szCs w:val="32"/>
        </w:rPr>
        <w:t>《东莞市</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十三五</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期间工业行业能耗控制实施方案》（东经信〔</w:t>
      </w:r>
      <w:r w:rsidRPr="008C6D69">
        <w:rPr>
          <w:rFonts w:ascii="Times New Roman" w:eastAsia="仿宋_GB2312" w:hAnsi="Times New Roman" w:cs="Times New Roman"/>
          <w:sz w:val="32"/>
          <w:szCs w:val="32"/>
        </w:rPr>
        <w:t>2017</w:t>
      </w:r>
      <w:r w:rsidRPr="008C6D69">
        <w:rPr>
          <w:rFonts w:ascii="Times New Roman" w:eastAsia="仿宋_GB2312" w:hAnsi="Times New Roman" w:cs="Times New Roman"/>
          <w:sz w:val="32"/>
          <w:szCs w:val="32"/>
        </w:rPr>
        <w:t>〕</w:t>
      </w:r>
      <w:r w:rsidRPr="008C6D69">
        <w:rPr>
          <w:rFonts w:ascii="Times New Roman" w:eastAsia="仿宋_GB2312" w:hAnsi="Times New Roman" w:cs="Times New Roman"/>
          <w:sz w:val="32"/>
          <w:szCs w:val="32"/>
        </w:rPr>
        <w:t>243</w:t>
      </w:r>
      <w:r w:rsidRPr="008C6D69">
        <w:rPr>
          <w:rFonts w:ascii="Times New Roman" w:eastAsia="仿宋_GB2312" w:hAnsi="Times New Roman" w:cs="Times New Roman"/>
          <w:sz w:val="32"/>
          <w:szCs w:val="32"/>
        </w:rPr>
        <w:t>号）</w:t>
      </w:r>
    </w:p>
    <w:p w:rsidR="003E4661" w:rsidRPr="008C6D69" w:rsidRDefault="00F90809">
      <w:pPr>
        <w:autoSpaceDE w:val="0"/>
        <w:autoSpaceDN w:val="0"/>
        <w:adjustRightInd w:val="0"/>
        <w:spacing w:line="600" w:lineRule="exact"/>
        <w:ind w:firstLineChars="550" w:firstLine="176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 xml:space="preserve">2. </w:t>
      </w:r>
      <w:r w:rsidRPr="008C6D69">
        <w:rPr>
          <w:rFonts w:ascii="Times New Roman" w:eastAsia="仿宋_GB2312" w:hAnsi="Times New Roman" w:cs="Times New Roman"/>
          <w:sz w:val="32"/>
          <w:szCs w:val="32"/>
        </w:rPr>
        <w:t>项目能耗指标表</w:t>
      </w:r>
    </w:p>
    <w:p w:rsidR="0053123A" w:rsidRPr="008C6D69" w:rsidRDefault="0053123A" w:rsidP="00D04171">
      <w:pPr>
        <w:autoSpaceDE w:val="0"/>
        <w:autoSpaceDN w:val="0"/>
        <w:adjustRightInd w:val="0"/>
        <w:spacing w:line="600" w:lineRule="exact"/>
        <w:ind w:firstLineChars="200" w:firstLine="640"/>
        <w:jc w:val="left"/>
        <w:rPr>
          <w:rFonts w:ascii="Times New Roman" w:eastAsia="仿宋_GB2312" w:hAnsi="Times New Roman" w:cs="Times New Roman"/>
          <w:sz w:val="32"/>
          <w:szCs w:val="32"/>
        </w:rPr>
      </w:pPr>
    </w:p>
    <w:p w:rsidR="00D04171" w:rsidRPr="008C6D69" w:rsidRDefault="00D04171" w:rsidP="00D04171">
      <w:pPr>
        <w:autoSpaceDE w:val="0"/>
        <w:autoSpaceDN w:val="0"/>
        <w:adjustRightInd w:val="0"/>
        <w:spacing w:line="600" w:lineRule="exact"/>
        <w:ind w:firstLineChars="200" w:firstLine="640"/>
        <w:jc w:val="left"/>
        <w:rPr>
          <w:rFonts w:ascii="Times New Roman" w:eastAsia="仿宋_GB2312" w:hAnsi="Times New Roman" w:cs="Times New Roman"/>
          <w:sz w:val="32"/>
          <w:szCs w:val="32"/>
        </w:rPr>
      </w:pPr>
      <w:r w:rsidRPr="008C6D69">
        <w:rPr>
          <w:rFonts w:ascii="Times New Roman" w:eastAsia="仿宋_GB2312" w:hAnsi="Times New Roman" w:cs="Times New Roman"/>
          <w:sz w:val="32"/>
          <w:szCs w:val="32"/>
        </w:rPr>
        <w:t>本规范性文件已经市法制局合法性审查同意发布，编号为</w:t>
      </w:r>
      <w:r w:rsidRPr="008C6D69">
        <w:rPr>
          <w:rFonts w:ascii="Times New Roman" w:eastAsia="仿宋_GB2312" w:hAnsi="Times New Roman" w:cs="Times New Roman"/>
          <w:sz w:val="32"/>
          <w:szCs w:val="32"/>
        </w:rPr>
        <w:t>DGSFZHGGJ</w:t>
      </w:r>
      <w:r w:rsidR="008C6D69" w:rsidRPr="008C6D69">
        <w:rPr>
          <w:rFonts w:ascii="Times New Roman" w:eastAsia="仿宋_GB2312" w:hAnsi="Times New Roman" w:cs="Times New Roman"/>
          <w:sz w:val="32"/>
          <w:szCs w:val="32"/>
        </w:rPr>
        <w:t>-2018-</w:t>
      </w:r>
      <w:r w:rsidRPr="008C6D69">
        <w:rPr>
          <w:rFonts w:ascii="Times New Roman" w:eastAsia="仿宋_GB2312" w:hAnsi="Times New Roman" w:cs="Times New Roman"/>
          <w:sz w:val="32"/>
          <w:szCs w:val="32"/>
        </w:rPr>
        <w:t>046</w:t>
      </w:r>
      <w:r w:rsidRPr="008C6D69">
        <w:rPr>
          <w:rFonts w:ascii="Times New Roman" w:eastAsia="仿宋_GB2312" w:hAnsi="Times New Roman" w:cs="Times New Roman"/>
          <w:sz w:val="32"/>
          <w:szCs w:val="32"/>
        </w:rPr>
        <w:t>。</w:t>
      </w:r>
    </w:p>
    <w:sectPr w:rsidR="00D04171" w:rsidRPr="008C6D69" w:rsidSect="00AA70D4">
      <w:footerReference w:type="even" r:id="rId9"/>
      <w:footerReference w:type="default" r:id="rId10"/>
      <w:footerReference w:type="first" r:id="rId11"/>
      <w:pgSz w:w="11906" w:h="16838"/>
      <w:pgMar w:top="1440" w:right="1797" w:bottom="1440" w:left="1797" w:header="851" w:footer="992" w:gutter="0"/>
      <w:pgNumType w:fmt="numberInDash"/>
      <w:cols w:space="425"/>
      <w:titlePg/>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08BC" w:rsidRDefault="008E08BC" w:rsidP="003E4661">
      <w:r>
        <w:separator/>
      </w:r>
    </w:p>
  </w:endnote>
  <w:endnote w:type="continuationSeparator" w:id="0">
    <w:p w:rsidR="008E08BC" w:rsidRDefault="008E08BC" w:rsidP="003E466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华康简标题宋">
    <w:panose1 w:val="0201060900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46442"/>
      <w:docPartObj>
        <w:docPartGallery w:val="Page Numbers (Bottom of Page)"/>
        <w:docPartUnique/>
      </w:docPartObj>
    </w:sdtPr>
    <w:sdtEndPr>
      <w:rPr>
        <w:rFonts w:asciiTheme="minorEastAsia" w:hAnsiTheme="minorEastAsia"/>
        <w:sz w:val="28"/>
        <w:szCs w:val="28"/>
      </w:rPr>
    </w:sdtEndPr>
    <w:sdtContent>
      <w:p w:rsidR="00AA70D4" w:rsidRPr="00AA70D4" w:rsidRDefault="00257FE3">
        <w:pPr>
          <w:pStyle w:val="a4"/>
          <w:rPr>
            <w:rFonts w:asciiTheme="minorEastAsia" w:hAnsiTheme="minorEastAsia"/>
            <w:sz w:val="28"/>
            <w:szCs w:val="28"/>
          </w:rPr>
        </w:pPr>
        <w:r w:rsidRPr="00AA70D4">
          <w:rPr>
            <w:rFonts w:asciiTheme="minorEastAsia" w:hAnsiTheme="minorEastAsia"/>
            <w:sz w:val="28"/>
            <w:szCs w:val="28"/>
          </w:rPr>
          <w:fldChar w:fldCharType="begin"/>
        </w:r>
        <w:r w:rsidR="00AA70D4" w:rsidRPr="00AA70D4">
          <w:rPr>
            <w:rFonts w:asciiTheme="minorEastAsia" w:hAnsiTheme="minorEastAsia"/>
            <w:sz w:val="28"/>
            <w:szCs w:val="28"/>
          </w:rPr>
          <w:instrText xml:space="preserve"> PAGE   \* MERGEFORMAT </w:instrText>
        </w:r>
        <w:r w:rsidRPr="00AA70D4">
          <w:rPr>
            <w:rFonts w:asciiTheme="minorEastAsia" w:hAnsiTheme="minorEastAsia"/>
            <w:sz w:val="28"/>
            <w:szCs w:val="28"/>
          </w:rPr>
          <w:fldChar w:fldCharType="separate"/>
        </w:r>
        <w:r w:rsidR="008C6D69" w:rsidRPr="008C6D69">
          <w:rPr>
            <w:rFonts w:asciiTheme="minorEastAsia" w:hAnsiTheme="minorEastAsia"/>
            <w:noProof/>
            <w:sz w:val="28"/>
            <w:szCs w:val="28"/>
            <w:lang w:val="zh-CN"/>
          </w:rPr>
          <w:t>-</w:t>
        </w:r>
        <w:r w:rsidR="008C6D69">
          <w:rPr>
            <w:rFonts w:asciiTheme="minorEastAsia" w:hAnsiTheme="minorEastAsia"/>
            <w:noProof/>
            <w:sz w:val="28"/>
            <w:szCs w:val="28"/>
          </w:rPr>
          <w:t xml:space="preserve"> 4 -</w:t>
        </w:r>
        <w:r w:rsidRPr="00AA70D4">
          <w:rPr>
            <w:rFonts w:asciiTheme="minorEastAsia" w:hAnsiTheme="minorEastAsia"/>
            <w:sz w:val="28"/>
            <w:szCs w:val="28"/>
          </w:rPr>
          <w:fldChar w:fldCharType="end"/>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46436"/>
      <w:docPartObj>
        <w:docPartGallery w:val="Page Numbers (Bottom of Page)"/>
        <w:docPartUnique/>
      </w:docPartObj>
    </w:sdtPr>
    <w:sdtContent>
      <w:p w:rsidR="003E4661" w:rsidRDefault="00257FE3" w:rsidP="00AA70D4">
        <w:pPr>
          <w:pStyle w:val="a4"/>
          <w:jc w:val="right"/>
        </w:pPr>
        <w:r w:rsidRPr="00AA70D4">
          <w:rPr>
            <w:rFonts w:asciiTheme="minorEastAsia" w:hAnsiTheme="minorEastAsia"/>
            <w:sz w:val="28"/>
            <w:szCs w:val="28"/>
          </w:rPr>
          <w:fldChar w:fldCharType="begin"/>
        </w:r>
        <w:r w:rsidR="00AA70D4" w:rsidRPr="00AA70D4">
          <w:rPr>
            <w:rFonts w:asciiTheme="minorEastAsia" w:hAnsiTheme="minorEastAsia"/>
            <w:sz w:val="28"/>
            <w:szCs w:val="28"/>
          </w:rPr>
          <w:instrText xml:space="preserve"> PAGE   \* MERGEFORMAT </w:instrText>
        </w:r>
        <w:r w:rsidRPr="00AA70D4">
          <w:rPr>
            <w:rFonts w:asciiTheme="minorEastAsia" w:hAnsiTheme="minorEastAsia"/>
            <w:sz w:val="28"/>
            <w:szCs w:val="28"/>
          </w:rPr>
          <w:fldChar w:fldCharType="separate"/>
        </w:r>
        <w:r w:rsidR="008C6D69" w:rsidRPr="008C6D69">
          <w:rPr>
            <w:rFonts w:asciiTheme="minorEastAsia" w:hAnsiTheme="minorEastAsia"/>
            <w:noProof/>
            <w:sz w:val="28"/>
            <w:szCs w:val="28"/>
            <w:lang w:val="zh-CN"/>
          </w:rPr>
          <w:t>-</w:t>
        </w:r>
        <w:r w:rsidR="008C6D69">
          <w:rPr>
            <w:rFonts w:asciiTheme="minorEastAsia" w:hAnsiTheme="minorEastAsia"/>
            <w:noProof/>
            <w:sz w:val="28"/>
            <w:szCs w:val="28"/>
          </w:rPr>
          <w:t xml:space="preserve"> 5 -</w:t>
        </w:r>
        <w:r w:rsidRPr="00AA70D4">
          <w:rPr>
            <w:rFonts w:asciiTheme="minorEastAsia" w:hAnsiTheme="minorEastAsia"/>
            <w:sz w:val="28"/>
            <w:szCs w:val="28"/>
          </w:rPr>
          <w:fldChar w:fldCharType="end"/>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46440"/>
      <w:docPartObj>
        <w:docPartGallery w:val="Page Numbers (Bottom of Page)"/>
        <w:docPartUnique/>
      </w:docPartObj>
    </w:sdtPr>
    <w:sdtEndPr>
      <w:rPr>
        <w:rFonts w:asciiTheme="minorEastAsia" w:hAnsiTheme="minorEastAsia"/>
        <w:sz w:val="28"/>
        <w:szCs w:val="28"/>
      </w:rPr>
    </w:sdtEndPr>
    <w:sdtContent>
      <w:p w:rsidR="00AA70D4" w:rsidRDefault="00257FE3">
        <w:pPr>
          <w:pStyle w:val="a4"/>
          <w:jc w:val="right"/>
        </w:pPr>
        <w:r w:rsidRPr="00AA70D4">
          <w:rPr>
            <w:rFonts w:asciiTheme="minorEastAsia" w:hAnsiTheme="minorEastAsia"/>
            <w:sz w:val="28"/>
            <w:szCs w:val="28"/>
          </w:rPr>
          <w:fldChar w:fldCharType="begin"/>
        </w:r>
        <w:r w:rsidR="00AA70D4" w:rsidRPr="00AA70D4">
          <w:rPr>
            <w:rFonts w:asciiTheme="minorEastAsia" w:hAnsiTheme="minorEastAsia"/>
            <w:sz w:val="28"/>
            <w:szCs w:val="28"/>
          </w:rPr>
          <w:instrText xml:space="preserve"> PAGE   \* MERGEFORMAT </w:instrText>
        </w:r>
        <w:r w:rsidRPr="00AA70D4">
          <w:rPr>
            <w:rFonts w:asciiTheme="minorEastAsia" w:hAnsiTheme="minorEastAsia"/>
            <w:sz w:val="28"/>
            <w:szCs w:val="28"/>
          </w:rPr>
          <w:fldChar w:fldCharType="separate"/>
        </w:r>
        <w:r w:rsidR="008C6D69" w:rsidRPr="008C6D69">
          <w:rPr>
            <w:rFonts w:asciiTheme="minorEastAsia" w:hAnsiTheme="minorEastAsia"/>
            <w:noProof/>
            <w:sz w:val="28"/>
            <w:szCs w:val="28"/>
            <w:lang w:val="zh-CN"/>
          </w:rPr>
          <w:t>-</w:t>
        </w:r>
        <w:r w:rsidR="008C6D69">
          <w:rPr>
            <w:rFonts w:asciiTheme="minorEastAsia" w:hAnsiTheme="minorEastAsia"/>
            <w:noProof/>
            <w:sz w:val="28"/>
            <w:szCs w:val="28"/>
          </w:rPr>
          <w:t xml:space="preserve"> 1 -</w:t>
        </w:r>
        <w:r w:rsidRPr="00AA70D4">
          <w:rPr>
            <w:rFonts w:asciiTheme="minorEastAsia" w:hAnsiTheme="minorEastAsia"/>
            <w:sz w:val="28"/>
            <w:szCs w:val="28"/>
          </w:rPr>
          <w:fldChar w:fldCharType="end"/>
        </w:r>
      </w:p>
    </w:sdtContent>
  </w:sdt>
  <w:p w:rsidR="00AA70D4" w:rsidRDefault="00AA70D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08BC" w:rsidRDefault="008E08BC" w:rsidP="003E4661">
      <w:r>
        <w:separator/>
      </w:r>
    </w:p>
  </w:footnote>
  <w:footnote w:type="continuationSeparator" w:id="0">
    <w:p w:rsidR="008E08BC" w:rsidRDefault="008E08BC" w:rsidP="003E466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1638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E0027"/>
    <w:rsid w:val="000006E2"/>
    <w:rsid w:val="00007254"/>
    <w:rsid w:val="00032725"/>
    <w:rsid w:val="000353FD"/>
    <w:rsid w:val="0003696A"/>
    <w:rsid w:val="00040546"/>
    <w:rsid w:val="0005251F"/>
    <w:rsid w:val="00057770"/>
    <w:rsid w:val="00057C05"/>
    <w:rsid w:val="000860F9"/>
    <w:rsid w:val="000968C0"/>
    <w:rsid w:val="000A3619"/>
    <w:rsid w:val="000B0048"/>
    <w:rsid w:val="000C208A"/>
    <w:rsid w:val="000C323C"/>
    <w:rsid w:val="000C36A0"/>
    <w:rsid w:val="000C551A"/>
    <w:rsid w:val="000D1B29"/>
    <w:rsid w:val="000D666B"/>
    <w:rsid w:val="000D7B80"/>
    <w:rsid w:val="000E4954"/>
    <w:rsid w:val="000F2D33"/>
    <w:rsid w:val="000F47E1"/>
    <w:rsid w:val="000F4A4E"/>
    <w:rsid w:val="001018AC"/>
    <w:rsid w:val="00102C5E"/>
    <w:rsid w:val="00106BB2"/>
    <w:rsid w:val="001202A4"/>
    <w:rsid w:val="00120816"/>
    <w:rsid w:val="00121735"/>
    <w:rsid w:val="00130E6C"/>
    <w:rsid w:val="00133B4D"/>
    <w:rsid w:val="001650D2"/>
    <w:rsid w:val="00166020"/>
    <w:rsid w:val="001663F1"/>
    <w:rsid w:val="001B2A57"/>
    <w:rsid w:val="001D4876"/>
    <w:rsid w:val="001D7512"/>
    <w:rsid w:val="001E669D"/>
    <w:rsid w:val="001F2E44"/>
    <w:rsid w:val="001F3EE5"/>
    <w:rsid w:val="001F5D99"/>
    <w:rsid w:val="0020074C"/>
    <w:rsid w:val="0020574D"/>
    <w:rsid w:val="00206393"/>
    <w:rsid w:val="002301FC"/>
    <w:rsid w:val="002347EA"/>
    <w:rsid w:val="0024495E"/>
    <w:rsid w:val="00256221"/>
    <w:rsid w:val="00257FE3"/>
    <w:rsid w:val="00263A69"/>
    <w:rsid w:val="00267DFA"/>
    <w:rsid w:val="0027552C"/>
    <w:rsid w:val="00283A60"/>
    <w:rsid w:val="0028782A"/>
    <w:rsid w:val="002A3EFC"/>
    <w:rsid w:val="002A59FE"/>
    <w:rsid w:val="002B23F3"/>
    <w:rsid w:val="002B26AC"/>
    <w:rsid w:val="002B45D6"/>
    <w:rsid w:val="002C69EC"/>
    <w:rsid w:val="002C72FC"/>
    <w:rsid w:val="002D3050"/>
    <w:rsid w:val="002D5FB2"/>
    <w:rsid w:val="0030079E"/>
    <w:rsid w:val="00303387"/>
    <w:rsid w:val="00312F12"/>
    <w:rsid w:val="00333CB4"/>
    <w:rsid w:val="00342624"/>
    <w:rsid w:val="0034529C"/>
    <w:rsid w:val="00346F5E"/>
    <w:rsid w:val="00347852"/>
    <w:rsid w:val="00370071"/>
    <w:rsid w:val="0037071E"/>
    <w:rsid w:val="00374934"/>
    <w:rsid w:val="003829EF"/>
    <w:rsid w:val="00387EE0"/>
    <w:rsid w:val="00390739"/>
    <w:rsid w:val="003A172E"/>
    <w:rsid w:val="003A4C87"/>
    <w:rsid w:val="003B5FCD"/>
    <w:rsid w:val="003B705A"/>
    <w:rsid w:val="003C1257"/>
    <w:rsid w:val="003C778C"/>
    <w:rsid w:val="003C7B5B"/>
    <w:rsid w:val="003D02FD"/>
    <w:rsid w:val="003E4661"/>
    <w:rsid w:val="003F056D"/>
    <w:rsid w:val="003F6023"/>
    <w:rsid w:val="00400E21"/>
    <w:rsid w:val="00405ADD"/>
    <w:rsid w:val="00413CD8"/>
    <w:rsid w:val="00416E7C"/>
    <w:rsid w:val="004203C7"/>
    <w:rsid w:val="004351DB"/>
    <w:rsid w:val="00437EDF"/>
    <w:rsid w:val="004543B5"/>
    <w:rsid w:val="0046254C"/>
    <w:rsid w:val="00474D5A"/>
    <w:rsid w:val="0047686D"/>
    <w:rsid w:val="004778B4"/>
    <w:rsid w:val="00477E6D"/>
    <w:rsid w:val="0048249E"/>
    <w:rsid w:val="004A076E"/>
    <w:rsid w:val="004A632F"/>
    <w:rsid w:val="004B09D5"/>
    <w:rsid w:val="004B20B5"/>
    <w:rsid w:val="004C03DA"/>
    <w:rsid w:val="004C0653"/>
    <w:rsid w:val="004D0476"/>
    <w:rsid w:val="004D164E"/>
    <w:rsid w:val="004D18D2"/>
    <w:rsid w:val="004D6E51"/>
    <w:rsid w:val="004E37B8"/>
    <w:rsid w:val="004E6AE5"/>
    <w:rsid w:val="004F3E31"/>
    <w:rsid w:val="004F6952"/>
    <w:rsid w:val="004F7196"/>
    <w:rsid w:val="00504909"/>
    <w:rsid w:val="0050774C"/>
    <w:rsid w:val="00526F9E"/>
    <w:rsid w:val="0053123A"/>
    <w:rsid w:val="005328FD"/>
    <w:rsid w:val="00537BFF"/>
    <w:rsid w:val="00540D02"/>
    <w:rsid w:val="00543A5C"/>
    <w:rsid w:val="00544139"/>
    <w:rsid w:val="0055372C"/>
    <w:rsid w:val="00571A82"/>
    <w:rsid w:val="00572BFC"/>
    <w:rsid w:val="00574D80"/>
    <w:rsid w:val="0058438E"/>
    <w:rsid w:val="005940A1"/>
    <w:rsid w:val="00597747"/>
    <w:rsid w:val="005A6662"/>
    <w:rsid w:val="005C1B4E"/>
    <w:rsid w:val="005C6D6F"/>
    <w:rsid w:val="005E095B"/>
    <w:rsid w:val="005E0E29"/>
    <w:rsid w:val="00616BC9"/>
    <w:rsid w:val="00623124"/>
    <w:rsid w:val="00625F5C"/>
    <w:rsid w:val="00626F81"/>
    <w:rsid w:val="00636C1F"/>
    <w:rsid w:val="006442EB"/>
    <w:rsid w:val="006673AE"/>
    <w:rsid w:val="0067473E"/>
    <w:rsid w:val="00676CE9"/>
    <w:rsid w:val="00686FEC"/>
    <w:rsid w:val="006906AA"/>
    <w:rsid w:val="00691EFF"/>
    <w:rsid w:val="00692558"/>
    <w:rsid w:val="00697214"/>
    <w:rsid w:val="006A54F4"/>
    <w:rsid w:val="006A6847"/>
    <w:rsid w:val="006B6919"/>
    <w:rsid w:val="006E21DE"/>
    <w:rsid w:val="006E2831"/>
    <w:rsid w:val="006E287B"/>
    <w:rsid w:val="006E63FE"/>
    <w:rsid w:val="00701334"/>
    <w:rsid w:val="00704F9E"/>
    <w:rsid w:val="007065E0"/>
    <w:rsid w:val="00707FE0"/>
    <w:rsid w:val="00714A53"/>
    <w:rsid w:val="007150A2"/>
    <w:rsid w:val="0074092F"/>
    <w:rsid w:val="00741CA0"/>
    <w:rsid w:val="007435F0"/>
    <w:rsid w:val="00754A88"/>
    <w:rsid w:val="007651B4"/>
    <w:rsid w:val="007740E8"/>
    <w:rsid w:val="0078056D"/>
    <w:rsid w:val="00780EA2"/>
    <w:rsid w:val="00791D8F"/>
    <w:rsid w:val="00797466"/>
    <w:rsid w:val="007A5831"/>
    <w:rsid w:val="007B26F8"/>
    <w:rsid w:val="007D403B"/>
    <w:rsid w:val="007D4249"/>
    <w:rsid w:val="007E5628"/>
    <w:rsid w:val="007F0EC5"/>
    <w:rsid w:val="007F6AA3"/>
    <w:rsid w:val="008002D5"/>
    <w:rsid w:val="008066ED"/>
    <w:rsid w:val="00807BD2"/>
    <w:rsid w:val="00816DC7"/>
    <w:rsid w:val="008218FC"/>
    <w:rsid w:val="008347F6"/>
    <w:rsid w:val="00837599"/>
    <w:rsid w:val="0084750A"/>
    <w:rsid w:val="00851230"/>
    <w:rsid w:val="00873D73"/>
    <w:rsid w:val="008877C2"/>
    <w:rsid w:val="0089750C"/>
    <w:rsid w:val="008A2F4F"/>
    <w:rsid w:val="008A3C2B"/>
    <w:rsid w:val="008A681A"/>
    <w:rsid w:val="008B420F"/>
    <w:rsid w:val="008B6764"/>
    <w:rsid w:val="008C355D"/>
    <w:rsid w:val="008C6D69"/>
    <w:rsid w:val="008D3A88"/>
    <w:rsid w:val="008D4B42"/>
    <w:rsid w:val="008E08BC"/>
    <w:rsid w:val="008E52E8"/>
    <w:rsid w:val="008F75D1"/>
    <w:rsid w:val="00900C04"/>
    <w:rsid w:val="0091298D"/>
    <w:rsid w:val="00912DBF"/>
    <w:rsid w:val="00915994"/>
    <w:rsid w:val="0092108F"/>
    <w:rsid w:val="00921EF9"/>
    <w:rsid w:val="009229CC"/>
    <w:rsid w:val="009266C9"/>
    <w:rsid w:val="00933903"/>
    <w:rsid w:val="0094607B"/>
    <w:rsid w:val="00950B2F"/>
    <w:rsid w:val="009736D4"/>
    <w:rsid w:val="009764B5"/>
    <w:rsid w:val="0098010D"/>
    <w:rsid w:val="00987CBC"/>
    <w:rsid w:val="00994D82"/>
    <w:rsid w:val="0099719D"/>
    <w:rsid w:val="009C2DC8"/>
    <w:rsid w:val="009D2616"/>
    <w:rsid w:val="009E1DA9"/>
    <w:rsid w:val="00A00DB9"/>
    <w:rsid w:val="00A07C28"/>
    <w:rsid w:val="00A11E47"/>
    <w:rsid w:val="00A132F6"/>
    <w:rsid w:val="00A1708F"/>
    <w:rsid w:val="00A17663"/>
    <w:rsid w:val="00A21F98"/>
    <w:rsid w:val="00A22317"/>
    <w:rsid w:val="00A24DDE"/>
    <w:rsid w:val="00A26A79"/>
    <w:rsid w:val="00A31D71"/>
    <w:rsid w:val="00A34169"/>
    <w:rsid w:val="00A53F6A"/>
    <w:rsid w:val="00A62850"/>
    <w:rsid w:val="00A6566C"/>
    <w:rsid w:val="00A66AE4"/>
    <w:rsid w:val="00A70E61"/>
    <w:rsid w:val="00A83E12"/>
    <w:rsid w:val="00A86F4D"/>
    <w:rsid w:val="00AA1CEA"/>
    <w:rsid w:val="00AA1D61"/>
    <w:rsid w:val="00AA70D4"/>
    <w:rsid w:val="00AB23BF"/>
    <w:rsid w:val="00AB7890"/>
    <w:rsid w:val="00AD0120"/>
    <w:rsid w:val="00AD0A89"/>
    <w:rsid w:val="00AE4ECE"/>
    <w:rsid w:val="00AE53E2"/>
    <w:rsid w:val="00B01AF7"/>
    <w:rsid w:val="00B102B2"/>
    <w:rsid w:val="00B15D94"/>
    <w:rsid w:val="00B20C26"/>
    <w:rsid w:val="00B2464D"/>
    <w:rsid w:val="00B308A5"/>
    <w:rsid w:val="00B3712A"/>
    <w:rsid w:val="00B6186D"/>
    <w:rsid w:val="00B755E5"/>
    <w:rsid w:val="00B77B35"/>
    <w:rsid w:val="00B77F57"/>
    <w:rsid w:val="00B92BFD"/>
    <w:rsid w:val="00B94A54"/>
    <w:rsid w:val="00BA75E7"/>
    <w:rsid w:val="00BD0554"/>
    <w:rsid w:val="00BD189D"/>
    <w:rsid w:val="00BE0215"/>
    <w:rsid w:val="00BE7496"/>
    <w:rsid w:val="00BF4080"/>
    <w:rsid w:val="00BF76F7"/>
    <w:rsid w:val="00C15E25"/>
    <w:rsid w:val="00C169ED"/>
    <w:rsid w:val="00C17081"/>
    <w:rsid w:val="00C20D59"/>
    <w:rsid w:val="00C21D75"/>
    <w:rsid w:val="00C23C95"/>
    <w:rsid w:val="00C304CF"/>
    <w:rsid w:val="00C358D1"/>
    <w:rsid w:val="00C44A6A"/>
    <w:rsid w:val="00C550DE"/>
    <w:rsid w:val="00C67D8D"/>
    <w:rsid w:val="00C724F6"/>
    <w:rsid w:val="00C85DD5"/>
    <w:rsid w:val="00C93C25"/>
    <w:rsid w:val="00C9491A"/>
    <w:rsid w:val="00CA613D"/>
    <w:rsid w:val="00CD2DFB"/>
    <w:rsid w:val="00CE1200"/>
    <w:rsid w:val="00CF31D3"/>
    <w:rsid w:val="00CF3714"/>
    <w:rsid w:val="00D037A4"/>
    <w:rsid w:val="00D04171"/>
    <w:rsid w:val="00D06AF8"/>
    <w:rsid w:val="00D118F8"/>
    <w:rsid w:val="00D119E8"/>
    <w:rsid w:val="00D2111C"/>
    <w:rsid w:val="00D22238"/>
    <w:rsid w:val="00D244A6"/>
    <w:rsid w:val="00D260ED"/>
    <w:rsid w:val="00D262DD"/>
    <w:rsid w:val="00D315CB"/>
    <w:rsid w:val="00D37129"/>
    <w:rsid w:val="00D41481"/>
    <w:rsid w:val="00D552AC"/>
    <w:rsid w:val="00D827F3"/>
    <w:rsid w:val="00D82B53"/>
    <w:rsid w:val="00D97418"/>
    <w:rsid w:val="00DA54C1"/>
    <w:rsid w:val="00DB18CA"/>
    <w:rsid w:val="00DD564B"/>
    <w:rsid w:val="00DE0227"/>
    <w:rsid w:val="00DE271A"/>
    <w:rsid w:val="00DF399E"/>
    <w:rsid w:val="00DF7E98"/>
    <w:rsid w:val="00E1244B"/>
    <w:rsid w:val="00E12B70"/>
    <w:rsid w:val="00E139DF"/>
    <w:rsid w:val="00E15E23"/>
    <w:rsid w:val="00E2756F"/>
    <w:rsid w:val="00E50447"/>
    <w:rsid w:val="00E61D33"/>
    <w:rsid w:val="00E77F25"/>
    <w:rsid w:val="00E90A85"/>
    <w:rsid w:val="00E93654"/>
    <w:rsid w:val="00EB5FCF"/>
    <w:rsid w:val="00EC0430"/>
    <w:rsid w:val="00ED423F"/>
    <w:rsid w:val="00ED5930"/>
    <w:rsid w:val="00EE6787"/>
    <w:rsid w:val="00F0195F"/>
    <w:rsid w:val="00F029D5"/>
    <w:rsid w:val="00F0569F"/>
    <w:rsid w:val="00F11840"/>
    <w:rsid w:val="00F21F73"/>
    <w:rsid w:val="00F223F5"/>
    <w:rsid w:val="00F2467A"/>
    <w:rsid w:val="00F3511C"/>
    <w:rsid w:val="00F440A9"/>
    <w:rsid w:val="00F46AB5"/>
    <w:rsid w:val="00F7045E"/>
    <w:rsid w:val="00F90809"/>
    <w:rsid w:val="00F932A4"/>
    <w:rsid w:val="00F972EE"/>
    <w:rsid w:val="00FA6018"/>
    <w:rsid w:val="00FD71B6"/>
    <w:rsid w:val="00FE0027"/>
    <w:rsid w:val="00FE2B27"/>
    <w:rsid w:val="00FE3D09"/>
    <w:rsid w:val="00FE4C91"/>
    <w:rsid w:val="00FE7972"/>
    <w:rsid w:val="26377007"/>
    <w:rsid w:val="43D25CB2"/>
    <w:rsid w:val="52DD582A"/>
    <w:rsid w:val="73AB27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FollowedHyperlink" w:semiHidden="0" w:qFormat="1"/>
    <w:lsdException w:name="Strong" w:semiHidden="0" w:uiPriority="22" w:unhideWhenUsed="0" w:qFormat="1"/>
    <w:lsdException w:name="Emphasis" w:semiHidden="0" w:uiPriority="20" w:unhideWhenUsed="0" w:qFormat="1"/>
    <w:lsdException w:name="Normal Table"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4661"/>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3E4661"/>
    <w:rPr>
      <w:sz w:val="18"/>
      <w:szCs w:val="18"/>
    </w:rPr>
  </w:style>
  <w:style w:type="paragraph" w:styleId="a4">
    <w:name w:val="footer"/>
    <w:basedOn w:val="a"/>
    <w:link w:val="Char0"/>
    <w:uiPriority w:val="99"/>
    <w:unhideWhenUsed/>
    <w:qFormat/>
    <w:rsid w:val="003E4661"/>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3E4661"/>
    <w:pPr>
      <w:pBdr>
        <w:bottom w:val="single" w:sz="6" w:space="1" w:color="auto"/>
      </w:pBdr>
      <w:tabs>
        <w:tab w:val="center" w:pos="4153"/>
        <w:tab w:val="right" w:pos="8306"/>
      </w:tabs>
      <w:snapToGrid w:val="0"/>
      <w:jc w:val="center"/>
    </w:pPr>
    <w:rPr>
      <w:sz w:val="18"/>
      <w:szCs w:val="18"/>
    </w:rPr>
  </w:style>
  <w:style w:type="character" w:styleId="a6">
    <w:name w:val="FollowedHyperlink"/>
    <w:basedOn w:val="a0"/>
    <w:uiPriority w:val="99"/>
    <w:unhideWhenUsed/>
    <w:qFormat/>
    <w:rsid w:val="003E4661"/>
    <w:rPr>
      <w:color w:val="800080" w:themeColor="followedHyperlink"/>
      <w:u w:val="single"/>
    </w:rPr>
  </w:style>
  <w:style w:type="character" w:styleId="a7">
    <w:name w:val="Hyperlink"/>
    <w:basedOn w:val="a0"/>
    <w:uiPriority w:val="99"/>
    <w:unhideWhenUsed/>
    <w:qFormat/>
    <w:rsid w:val="003E4661"/>
    <w:rPr>
      <w:color w:val="0000FF" w:themeColor="hyperlink"/>
      <w:u w:val="single"/>
    </w:rPr>
  </w:style>
  <w:style w:type="character" w:customStyle="1" w:styleId="Char1">
    <w:name w:val="页眉 Char"/>
    <w:basedOn w:val="a0"/>
    <w:link w:val="a5"/>
    <w:uiPriority w:val="99"/>
    <w:qFormat/>
    <w:rsid w:val="003E4661"/>
    <w:rPr>
      <w:sz w:val="18"/>
      <w:szCs w:val="18"/>
    </w:rPr>
  </w:style>
  <w:style w:type="character" w:customStyle="1" w:styleId="Char0">
    <w:name w:val="页脚 Char"/>
    <w:basedOn w:val="a0"/>
    <w:link w:val="a4"/>
    <w:uiPriority w:val="99"/>
    <w:qFormat/>
    <w:rsid w:val="003E4661"/>
    <w:rPr>
      <w:sz w:val="18"/>
      <w:szCs w:val="18"/>
    </w:rPr>
  </w:style>
  <w:style w:type="character" w:customStyle="1" w:styleId="Char">
    <w:name w:val="批注框文本 Char"/>
    <w:basedOn w:val="a0"/>
    <w:link w:val="a3"/>
    <w:uiPriority w:val="99"/>
    <w:semiHidden/>
    <w:qFormat/>
    <w:rsid w:val="003E4661"/>
    <w:rPr>
      <w:sz w:val="18"/>
      <w:szCs w:val="18"/>
    </w:rPr>
  </w:style>
  <w:style w:type="paragraph" w:customStyle="1" w:styleId="1">
    <w:name w:val="列出段落1"/>
    <w:basedOn w:val="a"/>
    <w:uiPriority w:val="34"/>
    <w:qFormat/>
    <w:rsid w:val="003E4661"/>
    <w:pPr>
      <w:widowControl/>
      <w:ind w:firstLineChars="200" w:firstLine="420"/>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www.gdzwfw.gov.c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A25501-7916-48E5-AF85-F0BFB57BA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Pages>
  <Words>340</Words>
  <Characters>1938</Characters>
  <Application>Microsoft Office Word</Application>
  <DocSecurity>0</DocSecurity>
  <Lines>16</Lines>
  <Paragraphs>4</Paragraphs>
  <ScaleCrop>false</ScaleCrop>
  <Company>Chinese ORG</Company>
  <LinksUpToDate>false</LinksUpToDate>
  <CharactersWithSpaces>2274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冯淑敏</dc:creator>
  <cp:lastModifiedBy>卢俊尹</cp:lastModifiedBy>
  <cp:revision>17</cp:revision>
  <cp:lastPrinted>2018-10-24T08:39:00Z</cp:lastPrinted>
  <dcterms:created xsi:type="dcterms:W3CDTF">2018-10-24T07:49:00Z</dcterms:created>
  <dcterms:modified xsi:type="dcterms:W3CDTF">2018-11-01T03:29:00Z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2052-10.1.0.6135</vt:lpwstr>
  </property>
</Properties>
</file>