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黑体"/>
          <w:szCs w:val="32"/>
        </w:rPr>
      </w:pPr>
      <w:r>
        <w:rPr>
          <w:rFonts w:eastAsia="黑体"/>
          <w:szCs w:val="32"/>
        </w:rPr>
        <w:t>附件1</w:t>
      </w:r>
    </w:p>
    <w:p>
      <w:pPr>
        <w:spacing w:line="580" w:lineRule="exact"/>
        <w:jc w:val="center"/>
        <w:rPr>
          <w:rFonts w:hint="eastAsia" w:ascii="方正小标宋简体" w:hAnsi="方正小标宋简体" w:eastAsia="方正小标宋简体" w:cs="方正小标宋简体"/>
          <w:sz w:val="42"/>
          <w:szCs w:val="42"/>
        </w:rPr>
      </w:pPr>
    </w:p>
    <w:p>
      <w:pPr>
        <w:spacing w:line="580" w:lineRule="exact"/>
        <w:jc w:val="center"/>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2025年东莞市新型储能示范应用资助</w:t>
      </w:r>
    </w:p>
    <w:p>
      <w:pPr>
        <w:spacing w:line="580" w:lineRule="exact"/>
        <w:jc w:val="center"/>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工作指引</w:t>
      </w:r>
    </w:p>
    <w:p>
      <w:pPr>
        <w:spacing w:line="580" w:lineRule="exact"/>
        <w:jc w:val="center"/>
        <w:rPr>
          <w:rFonts w:hint="eastAsia" w:ascii="仿宋_GB2312" w:hAnsi="仿宋_GB2312" w:cs="仿宋_GB2312"/>
          <w:szCs w:val="32"/>
        </w:rPr>
      </w:pPr>
    </w:p>
    <w:p>
      <w:pPr>
        <w:spacing w:line="580" w:lineRule="exact"/>
        <w:ind w:firstLine="647"/>
        <w:rPr>
          <w:rFonts w:hint="eastAsia" w:ascii="仿宋_GB2312" w:hAnsi="仿宋_GB2312" w:cs="仿宋_GB2312"/>
          <w:szCs w:val="32"/>
        </w:rPr>
      </w:pPr>
      <w:r>
        <w:rPr>
          <w:rFonts w:hint="eastAsia" w:ascii="仿宋_GB2312" w:hAnsi="仿宋_GB2312" w:cs="仿宋_GB2312"/>
          <w:szCs w:val="32"/>
        </w:rPr>
        <w:t>根据《东莞市加快新型储能产</w:t>
      </w:r>
      <w:bookmarkStart w:id="0" w:name="_GoBack"/>
      <w:bookmarkEnd w:id="0"/>
      <w:r>
        <w:rPr>
          <w:rFonts w:hint="eastAsia" w:ascii="仿宋_GB2312" w:hAnsi="仿宋_GB2312" w:cs="仿宋_GB2312"/>
          <w:szCs w:val="32"/>
        </w:rPr>
        <w:t>业高质量发展若干措施》（东发改〔</w:t>
      </w:r>
      <w:r>
        <w:rPr>
          <w:szCs w:val="32"/>
        </w:rPr>
        <w:t>2023</w:t>
      </w:r>
      <w:r>
        <w:rPr>
          <w:rFonts w:hint="eastAsia" w:ascii="仿宋_GB2312" w:hAnsi="仿宋_GB2312" w:cs="仿宋_GB2312"/>
          <w:szCs w:val="32"/>
        </w:rPr>
        <w:t>〕</w:t>
      </w:r>
      <w:r>
        <w:rPr>
          <w:szCs w:val="32"/>
        </w:rPr>
        <w:t>95</w:t>
      </w:r>
      <w:r>
        <w:rPr>
          <w:rFonts w:hint="eastAsia" w:ascii="仿宋_GB2312" w:hAnsi="仿宋_GB2312" w:cs="仿宋_GB2312"/>
          <w:szCs w:val="32"/>
        </w:rPr>
        <w:t>号）第四点第（十一）条，制定本工作指引。</w:t>
      </w:r>
    </w:p>
    <w:p>
      <w:pPr>
        <w:numPr>
          <w:ilvl w:val="0"/>
          <w:numId w:val="1"/>
        </w:numPr>
        <w:spacing w:line="580" w:lineRule="exact"/>
        <w:ind w:firstLine="647"/>
        <w:rPr>
          <w:rFonts w:hint="eastAsia" w:ascii="黑体" w:hAnsi="黑体" w:eastAsia="黑体" w:cs="黑体"/>
          <w:szCs w:val="32"/>
        </w:rPr>
      </w:pPr>
      <w:r>
        <w:rPr>
          <w:rFonts w:hint="eastAsia" w:ascii="黑体" w:hAnsi="黑体" w:eastAsia="黑体" w:cs="黑体"/>
          <w:szCs w:val="32"/>
        </w:rPr>
        <w:t>申报对象</w:t>
      </w:r>
    </w:p>
    <w:p>
      <w:pPr>
        <w:spacing w:line="580" w:lineRule="exact"/>
        <w:ind w:firstLine="647"/>
        <w:rPr>
          <w:rFonts w:hint="eastAsia" w:ascii="仿宋_GB2312" w:hAnsi="仿宋_GB2312" w:cs="仿宋_GB2312"/>
          <w:szCs w:val="32"/>
        </w:rPr>
      </w:pPr>
      <w:r>
        <w:rPr>
          <w:rFonts w:hint="eastAsia" w:ascii="仿宋_GB2312" w:hAnsi="仿宋_GB2312" w:cs="仿宋_GB2312"/>
          <w:szCs w:val="32"/>
        </w:rPr>
        <w:t>在东莞市注册成立，具备独立法人资格，实行单独核算，税收征管关系和统计关系均在东莞市范围内，储能示范应用项目的投资主体。</w:t>
      </w:r>
    </w:p>
    <w:p>
      <w:pPr>
        <w:numPr>
          <w:ilvl w:val="0"/>
          <w:numId w:val="1"/>
        </w:numPr>
        <w:spacing w:line="580" w:lineRule="exact"/>
        <w:ind w:firstLine="647"/>
        <w:rPr>
          <w:rFonts w:hint="eastAsia" w:ascii="黑体" w:hAnsi="黑体" w:eastAsia="黑体" w:cs="黑体"/>
          <w:szCs w:val="32"/>
        </w:rPr>
      </w:pPr>
      <w:r>
        <w:rPr>
          <w:rFonts w:hint="eastAsia" w:ascii="黑体" w:hAnsi="黑体" w:eastAsia="黑体" w:cs="黑体"/>
          <w:szCs w:val="32"/>
        </w:rPr>
        <w:t>申报条件</w:t>
      </w:r>
    </w:p>
    <w:p>
      <w:pPr>
        <w:numPr>
          <w:ilvl w:val="0"/>
          <w:numId w:val="2"/>
        </w:numPr>
        <w:spacing w:line="580" w:lineRule="exact"/>
        <w:ind w:firstLine="688" w:firstLineChars="200"/>
        <w:rPr>
          <w:rFonts w:hint="eastAsia" w:ascii="仿宋_GB2312" w:hAnsi="仿宋_GB2312" w:cs="仿宋_GB2312"/>
          <w:szCs w:val="32"/>
        </w:rPr>
      </w:pPr>
      <w:r>
        <w:rPr>
          <w:rFonts w:hint="eastAsia" w:ascii="仿宋_GB2312" w:hAnsi="仿宋_GB2312" w:cs="仿宋_GB2312"/>
          <w:szCs w:val="32"/>
        </w:rPr>
        <w:t>用户侧新型储能示范项目，应用场景包括工业园区、大型企业、大数据中</w:t>
      </w:r>
      <w:r>
        <w:rPr>
          <w:szCs w:val="32"/>
        </w:rPr>
        <w:t>心、5G基站等</w:t>
      </w:r>
      <w:r>
        <w:rPr>
          <w:rFonts w:hint="eastAsia" w:ascii="仿宋_GB2312" w:hAnsi="仿宋_GB2312" w:cs="仿宋_GB2312"/>
          <w:szCs w:val="32"/>
        </w:rPr>
        <w:t>高能耗场景，以及光储一体、“源网荷储”一体化、光储充一体化等融合发展场景；</w:t>
      </w:r>
    </w:p>
    <w:p>
      <w:pPr>
        <w:numPr>
          <w:ilvl w:val="0"/>
          <w:numId w:val="2"/>
        </w:numPr>
        <w:spacing w:line="580" w:lineRule="exact"/>
        <w:ind w:firstLine="688" w:firstLineChars="200"/>
        <w:rPr>
          <w:rFonts w:hint="eastAsia" w:ascii="仿宋_GB2312" w:hAnsi="仿宋_GB2312" w:cs="仿宋_GB2312"/>
          <w:szCs w:val="32"/>
        </w:rPr>
      </w:pPr>
      <w:r>
        <w:rPr>
          <w:rFonts w:hint="eastAsia" w:ascii="仿宋_GB2312" w:hAnsi="仿宋_GB2312" w:cs="仿宋_GB2312"/>
          <w:szCs w:val="32"/>
        </w:rPr>
        <w:t>项目实施地点在东莞市；</w:t>
      </w:r>
    </w:p>
    <w:p>
      <w:pPr>
        <w:numPr>
          <w:ilvl w:val="0"/>
          <w:numId w:val="2"/>
        </w:numPr>
        <w:spacing w:line="580" w:lineRule="exact"/>
        <w:ind w:firstLine="688" w:firstLineChars="200"/>
        <w:rPr>
          <w:szCs w:val="32"/>
        </w:rPr>
      </w:pPr>
      <w:r>
        <w:rPr>
          <w:rFonts w:hint="eastAsia" w:ascii="仿宋_GB2312" w:hAnsi="仿宋_GB2312" w:cs="仿宋_GB2312"/>
          <w:szCs w:val="32"/>
        </w:rPr>
        <w:t>项目具备较好的示范意义，采用的电池产品、储能系统达到先进</w:t>
      </w:r>
      <w:r>
        <w:rPr>
          <w:rFonts w:ascii="仿宋_GB2312" w:hAnsi="仿宋_GB2312" w:cs="仿宋_GB2312"/>
          <w:szCs w:val="32"/>
        </w:rPr>
        <w:t>水平</w:t>
      </w:r>
      <w:r>
        <w:rPr>
          <w:rFonts w:hint="eastAsia" w:ascii="仿宋_GB2312" w:hAnsi="仿宋_GB2312" w:cs="仿宋_GB2312"/>
          <w:szCs w:val="32"/>
        </w:rPr>
        <w:t>，满足以下基本条件：</w:t>
      </w:r>
      <w:r>
        <w:rPr>
          <w:szCs w:val="32"/>
        </w:rPr>
        <w:t>（1）按照工作寿命10年及以上设置，主要设备性能应符合国家相关标准规范；（2）接入电压等级为</w:t>
      </w:r>
      <w:r>
        <w:rPr>
          <w:rFonts w:hint="eastAsia"/>
          <w:szCs w:val="32"/>
        </w:rPr>
        <w:t>380V</w:t>
      </w:r>
      <w:r>
        <w:rPr>
          <w:szCs w:val="32"/>
        </w:rPr>
        <w:t>及以上，额定功率下连续放电时间不低于2小时；（3）</w:t>
      </w:r>
      <w:r>
        <w:rPr>
          <w:rFonts w:hint="eastAsia"/>
          <w:szCs w:val="32"/>
        </w:rPr>
        <w:t>锂电池</w:t>
      </w:r>
      <w:r>
        <w:rPr>
          <w:szCs w:val="32"/>
        </w:rPr>
        <w:t>电芯循环寿命≥</w:t>
      </w:r>
      <w:r>
        <w:rPr>
          <w:rFonts w:hint="eastAsia"/>
          <w:szCs w:val="32"/>
        </w:rPr>
        <w:t>6</w:t>
      </w:r>
      <w:r>
        <w:rPr>
          <w:szCs w:val="32"/>
        </w:rPr>
        <w:t>000次且容量保持率≥80%；（</w:t>
      </w:r>
      <w:r>
        <w:rPr>
          <w:rFonts w:hint="eastAsia"/>
          <w:szCs w:val="32"/>
        </w:rPr>
        <w:t>4</w:t>
      </w:r>
      <w:r>
        <w:rPr>
          <w:szCs w:val="32"/>
        </w:rPr>
        <w:t>）需具备电池簇级自动均衡、故障定位与隔离和SOC智能运、维设计；（</w:t>
      </w:r>
      <w:r>
        <w:rPr>
          <w:rFonts w:hint="eastAsia"/>
          <w:szCs w:val="32"/>
        </w:rPr>
        <w:t>5</w:t>
      </w:r>
      <w:r>
        <w:rPr>
          <w:szCs w:val="32"/>
        </w:rPr>
        <w:t>）储能变流器需采用模块化设计，支持模块化更换；（</w:t>
      </w:r>
      <w:r>
        <w:rPr>
          <w:rFonts w:hint="eastAsia"/>
          <w:szCs w:val="32"/>
        </w:rPr>
        <w:t>6</w:t>
      </w:r>
      <w:r>
        <w:rPr>
          <w:szCs w:val="32"/>
        </w:rPr>
        <w:t>）借助大数据、云计算等数字化技术，能够实现储能安全状态感知、诊断和预警；（</w:t>
      </w:r>
      <w:r>
        <w:rPr>
          <w:rFonts w:hint="eastAsia"/>
          <w:szCs w:val="32"/>
        </w:rPr>
        <w:t>7</w:t>
      </w:r>
      <w:r>
        <w:rPr>
          <w:szCs w:val="32"/>
        </w:rPr>
        <w:t>）需具备完善的电芯级、模组级、电池簇级和系统级的四级主、被动安全设计，支持相关行业标准的制订和修订；（</w:t>
      </w:r>
      <w:r>
        <w:rPr>
          <w:rFonts w:hint="eastAsia"/>
          <w:szCs w:val="32"/>
        </w:rPr>
        <w:t>8</w:t>
      </w:r>
      <w:r>
        <w:rPr>
          <w:szCs w:val="32"/>
        </w:rPr>
        <w:t>）开发能量管理系统EMS，可实现数据采集与监视、储能系统的运行控制和响应电网调度、储能系统状态评估、安全分析、配电自动化与管理</w:t>
      </w:r>
      <w:r>
        <w:rPr>
          <w:rFonts w:hint="eastAsia"/>
          <w:szCs w:val="32"/>
        </w:rPr>
        <w:t>；</w:t>
      </w:r>
      <w:r>
        <w:rPr>
          <w:szCs w:val="32"/>
        </w:rPr>
        <w:t>（</w:t>
      </w:r>
      <w:r>
        <w:rPr>
          <w:rFonts w:hint="eastAsia"/>
          <w:szCs w:val="32"/>
        </w:rPr>
        <w:t>9</w:t>
      </w:r>
      <w:r>
        <w:rPr>
          <w:szCs w:val="32"/>
        </w:rPr>
        <w:t>）</w:t>
      </w:r>
      <w:r>
        <w:rPr>
          <w:rFonts w:hint="eastAsia"/>
          <w:szCs w:val="32"/>
        </w:rPr>
        <w:t>单个储能</w:t>
      </w:r>
      <w:r>
        <w:rPr>
          <w:szCs w:val="32"/>
        </w:rPr>
        <w:t>项目规模</w:t>
      </w:r>
      <w:r>
        <w:rPr>
          <w:rFonts w:hint="eastAsia"/>
          <w:szCs w:val="32"/>
        </w:rPr>
        <w:t>原则上</w:t>
      </w:r>
      <w:r>
        <w:rPr>
          <w:szCs w:val="32"/>
        </w:rPr>
        <w:t>不少于</w:t>
      </w:r>
      <w:r>
        <w:rPr>
          <w:rFonts w:hint="eastAsia"/>
          <w:szCs w:val="32"/>
        </w:rPr>
        <w:t>2MWh</w:t>
      </w:r>
      <w:r>
        <w:rPr>
          <w:szCs w:val="32"/>
        </w:rPr>
        <w:t>。</w:t>
      </w:r>
    </w:p>
    <w:p>
      <w:pPr>
        <w:numPr>
          <w:ilvl w:val="0"/>
          <w:numId w:val="2"/>
        </w:numPr>
        <w:spacing w:line="580" w:lineRule="exact"/>
        <w:ind w:firstLine="688" w:firstLineChars="200"/>
        <w:rPr>
          <w:rFonts w:hint="eastAsia" w:ascii="仿宋_GB2312" w:hAnsi="仿宋_GB2312" w:cs="仿宋_GB2312"/>
          <w:szCs w:val="32"/>
        </w:rPr>
      </w:pPr>
      <w:r>
        <w:rPr>
          <w:rFonts w:hint="eastAsia" w:ascii="仿宋_GB2312" w:hAnsi="仿宋_GB2312" w:cs="仿宋_GB2312"/>
          <w:szCs w:val="32"/>
        </w:rPr>
        <w:t>支持安全性锂离子电池，并鼓励采用钠离子电池、固态锂离子电池、液流电池、液冷技术等先进电化学储能技术。</w:t>
      </w:r>
    </w:p>
    <w:p>
      <w:pPr>
        <w:numPr>
          <w:ilvl w:val="0"/>
          <w:numId w:val="2"/>
        </w:numPr>
        <w:spacing w:line="580" w:lineRule="exact"/>
        <w:ind w:firstLine="688" w:firstLineChars="200"/>
        <w:rPr>
          <w:rFonts w:hint="eastAsia" w:ascii="仿宋_GB2312" w:hAnsi="仿宋_GB2312" w:cs="仿宋_GB2312"/>
          <w:szCs w:val="32"/>
        </w:rPr>
      </w:pPr>
      <w:r>
        <w:rPr>
          <w:rFonts w:hint="eastAsia" w:ascii="仿宋_GB2312" w:hAnsi="仿宋_GB2312" w:cs="仿宋_GB2312"/>
          <w:szCs w:val="32"/>
        </w:rPr>
        <w:t>申报单位应拥有较强的技术开发和项目实施能力，经营管理状况良好。事业单位、社会团体和民办非企业应拥有专业化的技术及管理团队，财务制度健全，具有较高水平的研发成果和技术储备。</w:t>
      </w:r>
    </w:p>
    <w:p>
      <w:pPr>
        <w:numPr>
          <w:ilvl w:val="0"/>
          <w:numId w:val="2"/>
        </w:numPr>
        <w:spacing w:line="580" w:lineRule="exact"/>
        <w:ind w:firstLine="688" w:firstLineChars="200"/>
        <w:rPr>
          <w:rFonts w:hint="eastAsia" w:ascii="仿宋_GB2312" w:hAnsi="仿宋_GB2312" w:cs="仿宋_GB2312"/>
          <w:szCs w:val="32"/>
        </w:rPr>
      </w:pPr>
      <w:r>
        <w:rPr>
          <w:rFonts w:hint="eastAsia" w:ascii="仿宋_GB2312" w:hAnsi="仿宋_GB2312" w:cs="仿宋_GB2312"/>
          <w:szCs w:val="32"/>
        </w:rPr>
        <w:t>项目施工单位应</w:t>
      </w:r>
      <w:r>
        <w:rPr>
          <w:szCs w:val="32"/>
        </w:rPr>
        <w:t>具有承装（修、试）电力设施许可证五级或以上资质，或电力工程施工总承包资质。施工企业资质不得挂靠，对挂靠资质行为一经发现并查实，2年内不予接受相关业务申请</w:t>
      </w:r>
      <w:r>
        <w:rPr>
          <w:rFonts w:hint="eastAsia" w:ascii="仿宋_GB2312" w:hAnsi="仿宋_GB2312" w:cs="仿宋_GB2312"/>
          <w:szCs w:val="32"/>
        </w:rPr>
        <w:t>。</w:t>
      </w:r>
    </w:p>
    <w:p>
      <w:pPr>
        <w:numPr>
          <w:ilvl w:val="0"/>
          <w:numId w:val="2"/>
        </w:numPr>
        <w:spacing w:line="580" w:lineRule="exact"/>
        <w:ind w:firstLine="688" w:firstLineChars="200"/>
        <w:rPr>
          <w:rFonts w:hint="eastAsia" w:ascii="仿宋_GB2312" w:hAnsi="仿宋_GB2312" w:cs="仿宋_GB2312"/>
          <w:szCs w:val="32"/>
        </w:rPr>
      </w:pPr>
      <w:r>
        <w:rPr>
          <w:rFonts w:hint="eastAsia" w:ascii="仿宋_GB2312" w:hAnsi="仿宋_GB2312" w:cs="仿宋_GB2312"/>
          <w:szCs w:val="32"/>
        </w:rPr>
        <w:t>项目未获得过同类型市级财政资金支持。申报单位不存在财政专项资金不予资助的情形。申报单位未违反国家、省、市联合惩戒政策和制度规定，未被列为失信联合惩戒对象。</w:t>
      </w:r>
    </w:p>
    <w:p>
      <w:pPr>
        <w:numPr>
          <w:ilvl w:val="0"/>
          <w:numId w:val="1"/>
        </w:numPr>
        <w:spacing w:line="580" w:lineRule="exact"/>
        <w:ind w:firstLine="647"/>
        <w:rPr>
          <w:rFonts w:hint="eastAsia" w:ascii="仿宋_GB2312" w:hAnsi="仿宋_GB2312" w:cs="仿宋_GB2312"/>
          <w:szCs w:val="32"/>
        </w:rPr>
      </w:pPr>
      <w:r>
        <w:rPr>
          <w:rFonts w:hint="eastAsia" w:ascii="黑体" w:hAnsi="黑体" w:eastAsia="黑体" w:cs="黑体"/>
          <w:szCs w:val="32"/>
        </w:rPr>
        <w:t>资助方式与标准</w:t>
      </w:r>
    </w:p>
    <w:p>
      <w:pPr>
        <w:numPr>
          <w:ilvl w:val="0"/>
          <w:numId w:val="3"/>
        </w:numPr>
        <w:spacing w:line="580" w:lineRule="exact"/>
        <w:ind w:firstLine="688" w:firstLineChars="200"/>
        <w:rPr>
          <w:szCs w:val="32"/>
        </w:rPr>
      </w:pPr>
      <w:r>
        <w:rPr>
          <w:szCs w:val="32"/>
        </w:rPr>
        <w:t>项目</w:t>
      </w:r>
      <w:r>
        <w:rPr>
          <w:rFonts w:hint="eastAsia"/>
          <w:szCs w:val="32"/>
        </w:rPr>
        <w:t>采取示范认定制度，由市发展改革局在每年8—9月组织认定，通过专家评审择优纳入示范项目库，申报单位须先自行投入资金组织实施项目。次年组织补贴申报时，对获得认定、通过核查、完成验收的示范项目，自投运次月起，</w:t>
      </w:r>
      <w:r>
        <w:rPr>
          <w:szCs w:val="32"/>
        </w:rPr>
        <w:t>按经</w:t>
      </w:r>
      <w:r>
        <w:rPr>
          <w:rFonts w:hint="eastAsia"/>
          <w:szCs w:val="32"/>
        </w:rPr>
        <w:t>核定的实际放电量，</w:t>
      </w:r>
      <w:r>
        <w:rPr>
          <w:szCs w:val="32"/>
        </w:rPr>
        <w:t>给予</w:t>
      </w:r>
      <w:r>
        <w:rPr>
          <w:rFonts w:hint="eastAsia"/>
          <w:szCs w:val="32"/>
        </w:rPr>
        <w:t>投资主体不超过0.3元/千瓦时的</w:t>
      </w:r>
      <w:r>
        <w:rPr>
          <w:szCs w:val="32"/>
        </w:rPr>
        <w:t>事后资助，</w:t>
      </w:r>
      <w:r>
        <w:rPr>
          <w:rFonts w:hint="eastAsia"/>
          <w:szCs w:val="32"/>
        </w:rPr>
        <w:t>补贴累计不超过2年，单个项目累计补贴不超过300万元</w:t>
      </w:r>
      <w:r>
        <w:rPr>
          <w:szCs w:val="32"/>
        </w:rPr>
        <w:t>。</w:t>
      </w:r>
    </w:p>
    <w:p>
      <w:pPr>
        <w:numPr>
          <w:ilvl w:val="0"/>
          <w:numId w:val="3"/>
        </w:numPr>
        <w:spacing w:line="580" w:lineRule="exact"/>
        <w:ind w:firstLine="688" w:firstLineChars="200"/>
        <w:rPr>
          <w:szCs w:val="32"/>
        </w:rPr>
      </w:pPr>
      <w:r>
        <w:rPr>
          <w:rFonts w:hint="eastAsia"/>
          <w:szCs w:val="32"/>
        </w:rPr>
        <w:t>本项资金根据预算规模和项目申报数量情况，确定最终资助金额，资金用完即止。</w:t>
      </w:r>
    </w:p>
    <w:p>
      <w:pPr>
        <w:numPr>
          <w:ilvl w:val="0"/>
          <w:numId w:val="1"/>
        </w:numPr>
        <w:spacing w:line="580" w:lineRule="exact"/>
        <w:ind w:firstLine="647"/>
        <w:rPr>
          <w:rFonts w:hint="eastAsia" w:ascii="黑体" w:hAnsi="黑体" w:eastAsia="黑体" w:cs="黑体"/>
          <w:szCs w:val="32"/>
        </w:rPr>
      </w:pPr>
      <w:r>
        <w:rPr>
          <w:rFonts w:hint="eastAsia" w:ascii="黑体" w:hAnsi="黑体" w:eastAsia="黑体" w:cs="黑体"/>
          <w:szCs w:val="32"/>
        </w:rPr>
        <w:t>认定及申报材料</w:t>
      </w:r>
    </w:p>
    <w:p>
      <w:pPr>
        <w:numPr>
          <w:ilvl w:val="0"/>
          <w:numId w:val="4"/>
        </w:numPr>
        <w:spacing w:line="580" w:lineRule="exact"/>
        <w:ind w:firstLine="688" w:firstLineChars="200"/>
        <w:rPr>
          <w:rFonts w:hint="eastAsia" w:ascii="仿宋_GB2312" w:hAnsi="仿宋_GB2312" w:cs="仿宋_GB2312"/>
          <w:szCs w:val="32"/>
        </w:rPr>
      </w:pPr>
      <w:r>
        <w:rPr>
          <w:szCs w:val="32"/>
        </w:rPr>
        <w:t>认定</w:t>
      </w:r>
      <w:r>
        <w:rPr>
          <w:rFonts w:hint="eastAsia"/>
          <w:szCs w:val="32"/>
        </w:rPr>
        <w:t>材料</w:t>
      </w:r>
      <w:r>
        <w:rPr>
          <w:szCs w:val="32"/>
        </w:rPr>
        <w:t>：</w:t>
      </w:r>
      <w:r>
        <w:rPr>
          <w:rFonts w:hint="eastAsia"/>
          <w:szCs w:val="32"/>
        </w:rPr>
        <w:t>1.</w:t>
      </w:r>
      <w:r>
        <w:rPr>
          <w:szCs w:val="32"/>
        </w:rPr>
        <w:t>新型储能示范项目认定</w:t>
      </w:r>
      <w:r>
        <w:rPr>
          <w:rFonts w:hint="eastAsia"/>
          <w:szCs w:val="32"/>
        </w:rPr>
        <w:t>申请表；2.项目可行性研究报告</w:t>
      </w:r>
      <w:r>
        <w:rPr>
          <w:szCs w:val="32"/>
        </w:rPr>
        <w:t>；</w:t>
      </w:r>
      <w:r>
        <w:rPr>
          <w:rFonts w:hint="eastAsia"/>
          <w:szCs w:val="32"/>
        </w:rPr>
        <w:t>3.用户侧储能项目安全承诺声明；4</w:t>
      </w:r>
      <w:r>
        <w:rPr>
          <w:szCs w:val="32"/>
        </w:rPr>
        <w:t>.真实性声明</w:t>
      </w:r>
      <w:r>
        <w:rPr>
          <w:rFonts w:hint="eastAsia"/>
          <w:szCs w:val="32"/>
        </w:rPr>
        <w:t>。</w:t>
      </w:r>
    </w:p>
    <w:p>
      <w:pPr>
        <w:numPr>
          <w:ilvl w:val="0"/>
          <w:numId w:val="4"/>
        </w:numPr>
        <w:spacing w:line="580" w:lineRule="exact"/>
        <w:ind w:firstLine="688" w:firstLineChars="200"/>
        <w:rPr>
          <w:rFonts w:hint="eastAsia" w:ascii="仿宋_GB2312" w:hAnsi="仿宋_GB2312" w:cs="仿宋_GB2312"/>
          <w:szCs w:val="32"/>
        </w:rPr>
      </w:pPr>
      <w:r>
        <w:rPr>
          <w:rFonts w:hint="eastAsia"/>
          <w:szCs w:val="32"/>
        </w:rPr>
        <w:t>补贴</w:t>
      </w:r>
      <w:r>
        <w:rPr>
          <w:szCs w:val="32"/>
        </w:rPr>
        <w:t>申报</w:t>
      </w:r>
      <w:r>
        <w:rPr>
          <w:rFonts w:hint="eastAsia"/>
          <w:szCs w:val="32"/>
        </w:rPr>
        <w:t>材料</w:t>
      </w:r>
      <w:r>
        <w:rPr>
          <w:szCs w:val="32"/>
        </w:rPr>
        <w:t>：</w:t>
      </w:r>
      <w:r>
        <w:rPr>
          <w:rFonts w:hint="eastAsia"/>
          <w:szCs w:val="32"/>
        </w:rPr>
        <w:t>1.新型储能示范应用资助申请表；2</w:t>
      </w:r>
      <w:r>
        <w:rPr>
          <w:szCs w:val="32"/>
        </w:rPr>
        <w:t>.项目资金申请报告；</w:t>
      </w:r>
      <w:r>
        <w:rPr>
          <w:rFonts w:hint="eastAsia"/>
          <w:szCs w:val="32"/>
        </w:rPr>
        <w:t>3</w:t>
      </w:r>
      <w:r>
        <w:rPr>
          <w:szCs w:val="32"/>
        </w:rPr>
        <w:t>.</w:t>
      </w:r>
      <w:r>
        <w:rPr>
          <w:rFonts w:hint="eastAsia"/>
          <w:szCs w:val="32"/>
        </w:rPr>
        <w:t>申报</w:t>
      </w:r>
      <w:r>
        <w:rPr>
          <w:szCs w:val="32"/>
        </w:rPr>
        <w:t>单位资质材料；</w:t>
      </w:r>
      <w:r>
        <w:rPr>
          <w:rFonts w:hint="eastAsia"/>
          <w:szCs w:val="32"/>
        </w:rPr>
        <w:t>4.</w:t>
      </w:r>
      <w:r>
        <w:rPr>
          <w:szCs w:val="32"/>
        </w:rPr>
        <w:t>项目建设、运营合同和项目备案文件；</w:t>
      </w:r>
      <w:r>
        <w:rPr>
          <w:rFonts w:hint="eastAsia"/>
          <w:szCs w:val="32"/>
        </w:rPr>
        <w:t>5.</w:t>
      </w:r>
      <w:r>
        <w:rPr>
          <w:szCs w:val="32"/>
        </w:rPr>
        <w:t>项目实际投入清单及证明材料</w:t>
      </w:r>
      <w:r>
        <w:rPr>
          <w:rFonts w:hint="eastAsia"/>
          <w:szCs w:val="32"/>
        </w:rPr>
        <w:t>；6.</w:t>
      </w:r>
      <w:r>
        <w:rPr>
          <w:szCs w:val="32"/>
        </w:rPr>
        <w:t>电网企业出具的《储能项目并网验收意见单》；</w:t>
      </w:r>
      <w:r>
        <w:rPr>
          <w:rFonts w:hint="eastAsia"/>
          <w:szCs w:val="32"/>
        </w:rPr>
        <w:t>7</w:t>
      </w:r>
      <w:r>
        <w:rPr>
          <w:szCs w:val="32"/>
        </w:rPr>
        <w:t>实际放电量证明材料（以南网东莞供电局</w:t>
      </w:r>
      <w:r>
        <w:rPr>
          <w:rFonts w:hint="eastAsia"/>
          <w:szCs w:val="32"/>
        </w:rPr>
        <w:t>核实</w:t>
      </w:r>
      <w:r>
        <w:rPr>
          <w:szCs w:val="32"/>
        </w:rPr>
        <w:t>后的数据为准）</w:t>
      </w:r>
      <w:r>
        <w:rPr>
          <w:rFonts w:hint="eastAsia"/>
          <w:szCs w:val="32"/>
        </w:rPr>
        <w:t>；8.</w:t>
      </w:r>
      <w:r>
        <w:rPr>
          <w:szCs w:val="32"/>
        </w:rPr>
        <w:t>用电量证明材料；</w:t>
      </w:r>
      <w:r>
        <w:rPr>
          <w:rFonts w:hint="eastAsia"/>
          <w:szCs w:val="32"/>
        </w:rPr>
        <w:t>9.</w:t>
      </w:r>
      <w:r>
        <w:rPr>
          <w:rFonts w:hint="eastAsia" w:ascii="仿宋_GB2312" w:hAnsi="仿宋_GB2312" w:cs="仿宋_GB2312"/>
          <w:szCs w:val="32"/>
        </w:rPr>
        <w:t>储能电池的采购或租赁合</w:t>
      </w:r>
      <w:r>
        <w:rPr>
          <w:szCs w:val="32"/>
        </w:rPr>
        <w:t>同；</w:t>
      </w:r>
      <w:r>
        <w:rPr>
          <w:rFonts w:hint="eastAsia"/>
          <w:szCs w:val="32"/>
        </w:rPr>
        <w:t>10</w:t>
      </w:r>
      <w:r>
        <w:rPr>
          <w:szCs w:val="32"/>
        </w:rPr>
        <w:t>.有关</w:t>
      </w:r>
      <w:r>
        <w:rPr>
          <w:rFonts w:hint="eastAsia" w:ascii="仿宋_GB2312" w:hAnsi="仿宋_GB2312" w:cs="仿宋_GB2312"/>
          <w:szCs w:val="32"/>
        </w:rPr>
        <w:t>资料真实性的承诺函。</w:t>
      </w:r>
    </w:p>
    <w:p>
      <w:pPr>
        <w:numPr>
          <w:ilvl w:val="0"/>
          <w:numId w:val="1"/>
        </w:numPr>
        <w:spacing w:line="580" w:lineRule="exact"/>
        <w:ind w:firstLine="647"/>
        <w:rPr>
          <w:rFonts w:hint="eastAsia" w:ascii="黑体" w:hAnsi="黑体" w:eastAsia="黑体" w:cs="黑体"/>
          <w:szCs w:val="32"/>
        </w:rPr>
      </w:pPr>
      <w:r>
        <w:rPr>
          <w:rFonts w:hint="eastAsia" w:ascii="黑体" w:hAnsi="黑体" w:eastAsia="黑体" w:cs="黑体"/>
          <w:szCs w:val="32"/>
        </w:rPr>
        <w:t>申报流程</w:t>
      </w:r>
    </w:p>
    <w:p>
      <w:pPr>
        <w:numPr>
          <w:ilvl w:val="0"/>
          <w:numId w:val="0"/>
        </w:numPr>
        <w:spacing w:line="580" w:lineRule="exact"/>
        <w:ind w:firstLine="688" w:firstLineChars="200"/>
        <w:rPr>
          <w:rFonts w:hint="eastAsia" w:ascii="仿宋_GB2312" w:hAnsi="仿宋_GB2312" w:cs="仿宋_GB2312"/>
          <w:szCs w:val="32"/>
        </w:rPr>
      </w:pPr>
      <w:r>
        <w:rPr>
          <w:rFonts w:hint="eastAsia" w:ascii="楷体_GB2312" w:hAnsi="仿宋_GB2312" w:eastAsia="楷体_GB2312" w:cs="仿宋_GB2312"/>
          <w:szCs w:val="32"/>
        </w:rPr>
        <w:t>（一）</w:t>
      </w:r>
      <w:r>
        <w:rPr>
          <w:rFonts w:hint="eastAsia" w:ascii="楷体_GB2312" w:hAnsi="仿宋_GB2312" w:eastAsia="楷体_GB2312" w:cs="仿宋_GB2312"/>
          <w:szCs w:val="32"/>
        </w:rPr>
        <w:t>组织申报</w:t>
      </w:r>
      <w:r>
        <w:rPr>
          <w:rFonts w:hint="eastAsia" w:ascii="仿宋_GB2312" w:hAnsi="仿宋_GB2312" w:cs="仿宋_GB2312"/>
          <w:szCs w:val="32"/>
        </w:rPr>
        <w:t>。每</w:t>
      </w:r>
      <w:r>
        <w:rPr>
          <w:szCs w:val="32"/>
        </w:rPr>
        <w:t>年8</w:t>
      </w:r>
      <w:r>
        <w:rPr>
          <w:rFonts w:hint="eastAsia"/>
          <w:szCs w:val="32"/>
        </w:rPr>
        <w:t>—9</w:t>
      </w:r>
      <w:r>
        <w:rPr>
          <w:szCs w:val="32"/>
        </w:rPr>
        <w:t>月</w:t>
      </w:r>
      <w:r>
        <w:rPr>
          <w:rFonts w:hint="eastAsia"/>
          <w:szCs w:val="32"/>
        </w:rPr>
        <w:t>开展一次</w:t>
      </w:r>
      <w:r>
        <w:rPr>
          <w:rFonts w:hint="eastAsia" w:ascii="仿宋_GB2312" w:hAnsi="仿宋_GB2312" w:cs="仿宋_GB2312"/>
          <w:szCs w:val="32"/>
        </w:rPr>
        <w:t>认定工作（</w:t>
      </w:r>
      <w:r>
        <w:rPr>
          <w:szCs w:val="32"/>
        </w:rPr>
        <w:t>自2023年始）</w:t>
      </w:r>
      <w:r>
        <w:rPr>
          <w:rFonts w:hint="eastAsia" w:ascii="仿宋_GB2312" w:hAnsi="仿宋_GB2312" w:cs="仿宋_GB2312"/>
          <w:szCs w:val="32"/>
        </w:rPr>
        <w:t>，每年</w:t>
      </w:r>
      <w:r>
        <w:rPr>
          <w:rFonts w:hint="eastAsia"/>
          <w:szCs w:val="32"/>
        </w:rPr>
        <w:t>5—6</w:t>
      </w:r>
      <w:r>
        <w:rPr>
          <w:rFonts w:hint="eastAsia" w:ascii="仿宋_GB2312" w:hAnsi="仿宋_GB2312" w:cs="仿宋_GB2312"/>
          <w:szCs w:val="32"/>
        </w:rPr>
        <w:t>月（</w:t>
      </w:r>
      <w:r>
        <w:rPr>
          <w:szCs w:val="32"/>
        </w:rPr>
        <w:t>自202</w:t>
      </w:r>
      <w:r>
        <w:rPr>
          <w:rFonts w:hint="eastAsia"/>
          <w:szCs w:val="32"/>
        </w:rPr>
        <w:t>4</w:t>
      </w:r>
      <w:r>
        <w:rPr>
          <w:szCs w:val="32"/>
        </w:rPr>
        <w:t>年始）</w:t>
      </w:r>
      <w:r>
        <w:rPr>
          <w:rFonts w:hint="eastAsia" w:ascii="仿宋_GB2312" w:hAnsi="仿宋_GB2312" w:cs="仿宋_GB2312"/>
          <w:szCs w:val="32"/>
        </w:rPr>
        <w:t>开展一次组织申报工作，均通过线上平台进行申报，市发展改革局发布认定或申报通知，申报单位登陆</w:t>
      </w:r>
      <w:r>
        <w:rPr>
          <w:kern w:val="21"/>
          <w:szCs w:val="32"/>
          <w:lang w:val="en"/>
        </w:rPr>
        <w:t>“企莞家”企业综合服务平台（https://zwfw.dg.gov.cn/dgecsp/#/zclist/zcsb）</w:t>
      </w:r>
      <w:r>
        <w:rPr>
          <w:rFonts w:hint="eastAsia" w:ascii="仿宋_GB2312" w:hAnsi="仿宋_GB2312" w:cs="仿宋_GB2312"/>
          <w:szCs w:val="32"/>
        </w:rPr>
        <w:t>，找到对应栏目进行线上申报。</w:t>
      </w:r>
    </w:p>
    <w:p>
      <w:pPr>
        <w:numPr>
          <w:ilvl w:val="0"/>
          <w:numId w:val="0"/>
        </w:numPr>
        <w:spacing w:line="580" w:lineRule="exact"/>
        <w:ind w:firstLine="688" w:firstLineChars="200"/>
        <w:rPr>
          <w:rFonts w:hint="eastAsia" w:ascii="Times New Roman" w:hAnsi="Times New Roman" w:cs="Times New Roman"/>
          <w:szCs w:val="32"/>
        </w:rPr>
      </w:pPr>
      <w:r>
        <w:rPr>
          <w:rFonts w:hint="eastAsia" w:ascii="楷体_GB2312" w:eastAsia="楷体_GB2312"/>
          <w:szCs w:val="32"/>
        </w:rPr>
        <w:t>（二）提交纸质材料</w:t>
      </w:r>
      <w:r>
        <w:rPr>
          <w:rFonts w:eastAsia="楷体_GB2312"/>
          <w:szCs w:val="32"/>
        </w:rPr>
        <w:t>。</w:t>
      </w:r>
      <w:r>
        <w:rPr>
          <w:szCs w:val="32"/>
        </w:rPr>
        <w:t>网上预审通过后，申报企业将申报材料按顺序排版，使用A4规格纸双面打印，胶装装订一式三份，加盖企业公章（骑缝章），以现场或邮寄方式提交。</w:t>
      </w:r>
    </w:p>
    <w:p>
      <w:pPr>
        <w:numPr>
          <w:ilvl w:val="0"/>
          <w:numId w:val="0"/>
        </w:numPr>
        <w:spacing w:line="580" w:lineRule="exact"/>
        <w:ind w:firstLine="688" w:firstLineChars="200"/>
        <w:rPr>
          <w:rFonts w:hint="eastAsia" w:ascii="仿宋_GB2312" w:hAnsi="仿宋_GB2312" w:cs="仿宋_GB2312"/>
          <w:szCs w:val="32"/>
        </w:rPr>
      </w:pPr>
      <w:r>
        <w:rPr>
          <w:rFonts w:hint="eastAsia" w:ascii="楷体_GB2312" w:hAnsi="仿宋_GB2312" w:eastAsia="楷体_GB2312" w:cs="仿宋_GB2312"/>
          <w:szCs w:val="32"/>
        </w:rPr>
        <w:t>（三）</w:t>
      </w:r>
      <w:r>
        <w:rPr>
          <w:rFonts w:hint="eastAsia" w:ascii="楷体_GB2312" w:hAnsi="仿宋_GB2312" w:eastAsia="楷体_GB2312" w:cs="仿宋_GB2312"/>
          <w:szCs w:val="32"/>
        </w:rPr>
        <w:t>组织评审</w:t>
      </w:r>
      <w:r>
        <w:rPr>
          <w:rFonts w:hint="eastAsia" w:ascii="仿宋_GB2312" w:hAnsi="仿宋_GB2312" w:cs="仿宋_GB2312"/>
          <w:szCs w:val="32"/>
        </w:rPr>
        <w:t>。市发展改革局对申报资料进行评审，并同步征求市科技局、市工业和信息化局、市投资促进局等有关部门意见，确有需要，可委托专家或第三方开展核查，形成综合意见。</w:t>
      </w:r>
    </w:p>
    <w:p>
      <w:pPr>
        <w:numPr>
          <w:ilvl w:val="0"/>
          <w:numId w:val="0"/>
        </w:numPr>
        <w:spacing w:line="580" w:lineRule="exact"/>
        <w:ind w:firstLine="688" w:firstLineChars="200"/>
        <w:rPr>
          <w:rFonts w:hint="eastAsia" w:ascii="仿宋_GB2312" w:hAnsi="仿宋_GB2312" w:cs="仿宋_GB2312"/>
          <w:szCs w:val="32"/>
        </w:rPr>
      </w:pPr>
      <w:r>
        <w:rPr>
          <w:rFonts w:hint="eastAsia" w:ascii="楷体_GB2312" w:hAnsi="仿宋_GB2312" w:eastAsia="楷体_GB2312" w:cs="仿宋_GB2312"/>
          <w:szCs w:val="32"/>
        </w:rPr>
        <w:t>（四）</w:t>
      </w:r>
      <w:r>
        <w:rPr>
          <w:rFonts w:hint="eastAsia" w:ascii="楷体_GB2312" w:hAnsi="仿宋_GB2312" w:eastAsia="楷体_GB2312" w:cs="仿宋_GB2312"/>
          <w:szCs w:val="32"/>
        </w:rPr>
        <w:t>社会公示</w:t>
      </w:r>
      <w:r>
        <w:rPr>
          <w:rFonts w:hint="eastAsia" w:ascii="仿宋_GB2312" w:hAnsi="仿宋_GB2312" w:cs="仿宋_GB2312"/>
          <w:szCs w:val="32"/>
        </w:rPr>
        <w:t>。市发展改革局将认定名单或项目资助计划向社会进行为期</w:t>
      </w:r>
      <w:r>
        <w:rPr>
          <w:szCs w:val="32"/>
        </w:rPr>
        <w:t>5天</w:t>
      </w:r>
      <w:r>
        <w:rPr>
          <w:rFonts w:hint="eastAsia" w:ascii="仿宋_GB2312" w:hAnsi="仿宋_GB2312" w:cs="仿宋_GB2312"/>
          <w:szCs w:val="32"/>
        </w:rPr>
        <w:t>的公示。公示有异议的项目，将会同有关单位进一步核实，经核实不符合条件的项目不予支持。</w:t>
      </w:r>
    </w:p>
    <w:p>
      <w:pPr>
        <w:numPr>
          <w:ilvl w:val="0"/>
          <w:numId w:val="0"/>
        </w:numPr>
        <w:spacing w:line="580" w:lineRule="exact"/>
        <w:ind w:firstLine="688" w:firstLineChars="200"/>
        <w:rPr>
          <w:rFonts w:hint="eastAsia" w:ascii="仿宋_GB2312" w:hAnsi="仿宋_GB2312" w:cs="仿宋_GB2312"/>
          <w:szCs w:val="32"/>
        </w:rPr>
      </w:pPr>
      <w:r>
        <w:rPr>
          <w:rFonts w:hint="eastAsia" w:ascii="楷体_GB2312" w:hAnsi="仿宋_GB2312" w:eastAsia="楷体_GB2312" w:cs="仿宋_GB2312"/>
          <w:szCs w:val="32"/>
        </w:rPr>
        <w:t>（五）</w:t>
      </w:r>
      <w:r>
        <w:rPr>
          <w:rFonts w:hint="eastAsia" w:ascii="楷体_GB2312" w:hAnsi="仿宋_GB2312" w:eastAsia="楷体_GB2312" w:cs="仿宋_GB2312"/>
          <w:szCs w:val="32"/>
        </w:rPr>
        <w:t>资金拨付</w:t>
      </w:r>
      <w:r>
        <w:rPr>
          <w:rFonts w:hint="eastAsia" w:ascii="仿宋_GB2312" w:hAnsi="仿宋_GB2312" w:cs="仿宋_GB2312"/>
          <w:szCs w:val="32"/>
        </w:rPr>
        <w:t>。审批完成后上报市政府，市政府批准资助计划后，市发展改革局按照工作流程办理资金拨付。</w:t>
      </w:r>
    </w:p>
    <w:p>
      <w:pPr>
        <w:numPr>
          <w:ilvl w:val="0"/>
          <w:numId w:val="1"/>
        </w:numPr>
        <w:spacing w:line="580" w:lineRule="exact"/>
        <w:ind w:firstLine="647"/>
        <w:rPr>
          <w:rFonts w:hint="eastAsia" w:ascii="黑体" w:hAnsi="黑体" w:eastAsia="黑体" w:cs="黑体"/>
          <w:szCs w:val="32"/>
        </w:rPr>
      </w:pPr>
      <w:r>
        <w:rPr>
          <w:rFonts w:hint="eastAsia" w:ascii="黑体" w:hAnsi="黑体" w:eastAsia="黑体" w:cs="黑体"/>
          <w:szCs w:val="32"/>
        </w:rPr>
        <w:t>监督检查</w:t>
      </w:r>
    </w:p>
    <w:p>
      <w:pPr>
        <w:numPr>
          <w:ilvl w:val="0"/>
          <w:numId w:val="5"/>
        </w:numPr>
        <w:spacing w:line="580" w:lineRule="exact"/>
        <w:ind w:firstLine="688" w:firstLineChars="200"/>
        <w:rPr>
          <w:rFonts w:hint="eastAsia" w:ascii="仿宋_GB2312" w:hAnsi="仿宋_GB2312" w:cs="仿宋_GB2312"/>
          <w:szCs w:val="32"/>
        </w:rPr>
      </w:pPr>
      <w:r>
        <w:rPr>
          <w:rFonts w:hint="eastAsia" w:ascii="仿宋_GB2312" w:hAnsi="仿宋_GB2312" w:cs="仿宋_GB2312"/>
          <w:szCs w:val="32"/>
        </w:rPr>
        <w:t>资金申请方必须对所提供的有关资料真实性负责。资金申请方需出具承诺函，承诺所提供资料真实，如提供虚假资料所造成的一切后果由资金申请方负责。市发展改革局对申报项目进行不定期抽查，如经查实存在违法违规行为的，按照《财政违法行为处罚处分条例》及市级财政专项资金有关文件规定进行处理。</w:t>
      </w:r>
    </w:p>
    <w:p>
      <w:pPr>
        <w:numPr>
          <w:ilvl w:val="0"/>
          <w:numId w:val="5"/>
        </w:numPr>
        <w:spacing w:line="580" w:lineRule="exact"/>
        <w:ind w:firstLine="688" w:firstLineChars="200"/>
        <w:rPr>
          <w:rFonts w:hint="eastAsia" w:ascii="仿宋_GB2312" w:hAnsi="仿宋_GB2312" w:cs="仿宋_GB2312"/>
          <w:szCs w:val="32"/>
        </w:rPr>
      </w:pPr>
      <w:r>
        <w:rPr>
          <w:rFonts w:hint="eastAsia" w:ascii="仿宋_GB2312" w:hAnsi="仿宋_GB2312" w:cs="仿宋_GB2312"/>
          <w:szCs w:val="32"/>
        </w:rPr>
        <w:t>专项资金的监督管理、绩效评价、信息公开及责任追究等按照市政府出台的关于市级财政专项资金管理办法、财务管理办法、绩效评价、责任追究等办法规定执行。市发展改革局落实资金项目的监督检查，跟进申报单位运营情况及资助项目实施情况，优化资金使用。</w:t>
      </w:r>
    </w:p>
    <w:p>
      <w:pPr>
        <w:numPr>
          <w:ilvl w:val="0"/>
          <w:numId w:val="5"/>
        </w:numPr>
        <w:spacing w:line="580" w:lineRule="exact"/>
        <w:ind w:firstLine="688" w:firstLineChars="200"/>
      </w:pPr>
      <w:r>
        <w:rPr>
          <w:rFonts w:hint="eastAsia" w:ascii="仿宋_GB2312" w:hAnsi="仿宋_GB2312" w:cs="仿宋_GB2312"/>
          <w:szCs w:val="32"/>
        </w:rPr>
        <w:t>获得专项资金的申报单位要切实加强对专项资金的使用管理，自觉接受市发展改革局、财政、审计、监察部门的监督检查，严格执行财务规章制度和会计核算办法。申报单位如有弄虚作假、挪用、不按规定使用专项资金等行为，将收回专项资金并按有关规定追究责任。</w:t>
      </w:r>
      <w:r>
        <w:rPr>
          <w:rFonts w:hint="eastAsia" w:ascii="仿宋_GB2312" w:hAnsi="黑体"/>
          <w:szCs w:val="32"/>
        </w:rPr>
        <w:fldChar w:fldCharType="begin"/>
      </w:r>
      <w:r>
        <w:rPr>
          <w:rFonts w:hint="eastAsia" w:ascii="仿宋_GB2312" w:hAnsi="黑体"/>
          <w:szCs w:val="32"/>
        </w:rPr>
        <w:instrText xml:space="preserve"> DOCVARIABLE  FlGkfs  \* MERGEFORMAT </w:instrText>
      </w:r>
      <w:r>
        <w:rPr>
          <w:rFonts w:hint="eastAsia" w:ascii="仿宋_GB2312" w:hAnsi="黑体"/>
          <w:szCs w:val="32"/>
        </w:rPr>
        <w:fldChar w:fldCharType="end"/>
      </w:r>
    </w:p>
    <w:sectPr>
      <w:footerReference r:id="rId5" w:type="first"/>
      <w:footerReference r:id="rId3" w:type="default"/>
      <w:footerReference r:id="rId4" w:type="even"/>
      <w:pgSz w:w="11906" w:h="16838"/>
      <w:pgMar w:top="1871" w:right="1531" w:bottom="1417" w:left="1531" w:header="851" w:footer="914" w:gutter="0"/>
      <w:cols w:space="720" w:num="1"/>
      <w:docGrid w:type="linesAndChars" w:linePitch="579"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9</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0jDJRKgBAABCAwAADgAAAAAAAAABACAAAAA0AQAAZHJzL2Uyb0RvYy54bWxQSwUGAAAA&#10;AAYABgBZAQAATgU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notBeside" w:vAnchor="page" w:hAnchor="page" w:x="1479" w:y="15598"/>
      <w:rPr>
        <w:rStyle w:val="6"/>
      </w:rPr>
    </w:pPr>
    <w:r>
      <w:rPr>
        <w:rStyle w:val="6"/>
        <w:rFonts w:hint="eastAsia"/>
      </w:rPr>
      <w:t>—</w:t>
    </w:r>
    <w:r>
      <w:fldChar w:fldCharType="begin"/>
    </w:r>
    <w:r>
      <w:rPr>
        <w:rStyle w:val="6"/>
      </w:rPr>
      <w:instrText xml:space="preserve">PAGE  </w:instrText>
    </w:r>
    <w:r>
      <w:fldChar w:fldCharType="separate"/>
    </w:r>
    <w:r>
      <w:rPr>
        <w:rStyle w:val="6"/>
      </w:rPr>
      <w:t>2</w:t>
    </w:r>
    <w:r>
      <w:fldChar w:fldCharType="end"/>
    </w:r>
    <w:r>
      <w:rPr>
        <w:rStyle w:val="6"/>
        <w:rFonts w:hint="eastAsia"/>
      </w:rPr>
      <w:t>—</w:t>
    </w:r>
  </w:p>
  <w:p>
    <w:pPr>
      <w:pStyle w:val="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8" w:rightChars="-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8</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iFuoAQAAQg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dHieMWV3T8+eP468/x93cyz/L0PtZY&#10;9eCxLg3XMDQ0hZ2cUhHjmfiggs1fpESwBLU+nPWVQyICg/PlYrmsMCUwNznYgr387kNMdxIsyUZD&#10;Ay6w6Mr3n2M6lU4luZuDW21MWaJxfwUQM0dYHv80Y7bSsBlGThtoD0ipx9031OFxUmLuHUqbz2Qy&#10;wmRsRiP3iP5ql7BxmSejnqDGZriowmg8qnwJr/1S9XL6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VDuIW6gBAABCAwAADgAAAAAAAAABACAAAAA0AQAAZHJzL2Uyb0RvYy54bWxQSwUGAAAA&#10;AAYABgBZAQAATgU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FED30"/>
    <w:multiLevelType w:val="singleLevel"/>
    <w:tmpl w:val="BBEFED30"/>
    <w:lvl w:ilvl="0" w:tentative="0">
      <w:start w:val="1"/>
      <w:numFmt w:val="chineseCounting"/>
      <w:suff w:val="nothing"/>
      <w:lvlText w:val="（%1）"/>
      <w:lvlJc w:val="left"/>
      <w:pPr>
        <w:ind w:left="0" w:firstLine="0"/>
      </w:pPr>
      <w:rPr>
        <w:rFonts w:hint="eastAsia" w:ascii="楷体_GB2312" w:hAnsi="楷体_GB2312" w:eastAsia="楷体_GB2312" w:cs="楷体_GB2312"/>
        <w:sz w:val="32"/>
        <w:szCs w:val="32"/>
      </w:rPr>
    </w:lvl>
  </w:abstractNum>
  <w:abstractNum w:abstractNumId="1">
    <w:nsid w:val="DA5EE99A"/>
    <w:multiLevelType w:val="singleLevel"/>
    <w:tmpl w:val="DA5EE99A"/>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2">
    <w:nsid w:val="DB5A13A9"/>
    <w:multiLevelType w:val="singleLevel"/>
    <w:tmpl w:val="DB5A13A9"/>
    <w:lvl w:ilvl="0" w:tentative="0">
      <w:start w:val="1"/>
      <w:numFmt w:val="chineseCounting"/>
      <w:suff w:val="nothing"/>
      <w:lvlText w:val="（%1）"/>
      <w:lvlJc w:val="left"/>
      <w:pPr>
        <w:ind w:left="0" w:firstLine="0"/>
      </w:pPr>
      <w:rPr>
        <w:rFonts w:hint="eastAsia" w:ascii="楷体_GB2312" w:hAnsi="楷体_GB2312" w:eastAsia="楷体_GB2312" w:cs="楷体_GB2312"/>
        <w:sz w:val="32"/>
        <w:szCs w:val="32"/>
      </w:rPr>
    </w:lvl>
  </w:abstractNum>
  <w:abstractNum w:abstractNumId="3">
    <w:nsid w:val="E9E0DB6D"/>
    <w:multiLevelType w:val="singleLevel"/>
    <w:tmpl w:val="E9E0DB6D"/>
    <w:lvl w:ilvl="0" w:tentative="0">
      <w:start w:val="1"/>
      <w:numFmt w:val="chineseCounting"/>
      <w:suff w:val="nothing"/>
      <w:lvlText w:val="（%1）"/>
      <w:lvlJc w:val="left"/>
      <w:pPr>
        <w:ind w:left="0" w:firstLine="0"/>
      </w:pPr>
      <w:rPr>
        <w:rFonts w:hint="eastAsia" w:ascii="楷体_GB2312" w:hAnsi="楷体_GB2312" w:eastAsia="楷体_GB2312" w:cs="楷体_GB2312"/>
        <w:sz w:val="32"/>
        <w:szCs w:val="32"/>
      </w:rPr>
    </w:lvl>
  </w:abstractNum>
  <w:abstractNum w:abstractNumId="4">
    <w:nsid w:val="09B25CD9"/>
    <w:multiLevelType w:val="singleLevel"/>
    <w:tmpl w:val="09B25CD9"/>
    <w:lvl w:ilvl="0" w:tentative="0">
      <w:start w:val="1"/>
      <w:numFmt w:val="chineseCounting"/>
      <w:suff w:val="nothing"/>
      <w:lvlText w:val="%1、"/>
      <w:lvlJc w:val="left"/>
      <w:rPr>
        <w:rFonts w:hint="eastAsia" w:ascii="黑体" w:hAnsi="黑体" w:eastAsia="黑体" w:cs="黑体"/>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14DD7"/>
    <w:rsid w:val="000F07BA"/>
    <w:rsid w:val="001341F4"/>
    <w:rsid w:val="002616FE"/>
    <w:rsid w:val="004F18E5"/>
    <w:rsid w:val="00786B2C"/>
    <w:rsid w:val="008E0C72"/>
    <w:rsid w:val="0090560A"/>
    <w:rsid w:val="00AF799C"/>
    <w:rsid w:val="00B01712"/>
    <w:rsid w:val="00EF056D"/>
    <w:rsid w:val="00FD5D3E"/>
    <w:rsid w:val="0E1E3390"/>
    <w:rsid w:val="23EE1F28"/>
    <w:rsid w:val="29EE018E"/>
    <w:rsid w:val="2C5E5AEC"/>
    <w:rsid w:val="2D3D7B9B"/>
    <w:rsid w:val="2F667FF6"/>
    <w:rsid w:val="3D2E33FF"/>
    <w:rsid w:val="46F14DD7"/>
    <w:rsid w:val="5DF623EA"/>
    <w:rsid w:val="7E2E1411"/>
    <w:rsid w:val="7ED6C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leader="hyphen" w:pos="4153"/>
        <w:tab w:val="right" w:pos="8306"/>
      </w:tabs>
      <w:snapToGrid w:val="0"/>
      <w:jc w:val="right"/>
    </w:pPr>
    <w:rPr>
      <w:sz w:val="28"/>
      <w:szCs w:val="18"/>
    </w:rPr>
  </w:style>
  <w:style w:type="paragraph" w:styleId="3">
    <w:name w:val="header"/>
    <w:basedOn w:val="1"/>
    <w:qFormat/>
    <w:uiPriority w:val="0"/>
    <w:pP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仿宋_GB2312"/>
      <w:sz w:val="28"/>
      <w:lang w:eastAsia="zh-CN"/>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382</Words>
  <Characters>2179</Characters>
  <Lines>18</Lines>
  <Paragraphs>5</Paragraphs>
  <TotalTime>5</TotalTime>
  <ScaleCrop>false</ScaleCrop>
  <LinksUpToDate>false</LinksUpToDate>
  <CharactersWithSpaces>2556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2024-10-09T04:22:00Z</dcterms:created>
  <dc:creator>彭芬</dc:creator>
  <cp:lastModifiedBy>韩尚臻</cp:lastModifiedBy>
  <dcterms:modified xsi:type="dcterms:W3CDTF">2025-11-10T11:11:02Z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885AB228705F46578142D1928F24C96C</vt:lpwstr>
  </property>
  <property fmtid="{D5CDD505-2E9C-101B-9397-08002B2CF9AE}" pid="4" name="KSOTemplateDocerSaveRecord">
    <vt:lpwstr>eyJoZGlkIjoiNTUzMmM4NDY1ZTk4MDI0Y2MzODhjNjJiNTk5MzI2OWEiLCJ1c2VySWQiOiI0MjY2MDMxNTgifQ==</vt:lpwstr>
  </property>
</Properties>
</file>