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举报成品油非法经营行为奖金申请表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(申请类型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填报单位：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065"/>
        <w:gridCol w:w="4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举报情况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举报方式</w:t>
            </w:r>
          </w:p>
        </w:tc>
        <w:tc>
          <w:tcPr>
            <w:tcW w:w="4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受理单号或线索编号等</w:t>
            </w:r>
          </w:p>
        </w:tc>
        <w:tc>
          <w:tcPr>
            <w:tcW w:w="4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举报详情</w:t>
            </w:r>
          </w:p>
        </w:tc>
        <w:tc>
          <w:tcPr>
            <w:tcW w:w="45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4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5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查处情况</w:t>
            </w:r>
          </w:p>
        </w:tc>
        <w:tc>
          <w:tcPr>
            <w:tcW w:w="206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受理部门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联系人、电话</w:t>
            </w:r>
          </w:p>
        </w:tc>
        <w:tc>
          <w:tcPr>
            <w:tcW w:w="45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24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62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镇街（园区）成品油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主管部门初审意见</w:t>
            </w:r>
          </w:p>
        </w:tc>
        <w:tc>
          <w:tcPr>
            <w:tcW w:w="6622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firstLine="2040" w:firstLineChars="85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2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市成品油主管部门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审核意见</w:t>
            </w:r>
          </w:p>
        </w:tc>
        <w:tc>
          <w:tcPr>
            <w:tcW w:w="6622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40" w:firstLine="2040" w:firstLineChars="85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盖章：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备注: 1. 申请类型包括: 自然人、法人、其他组织等。2.举报详情包括举报时间、“黑油”窝点地址、“黑油”车辆信息。3. 查处情况应详细列明查处时间、地点、涉案车牌号码、油品数量、嫌疑人并提供执法情况材料及相关图片。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0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2025-12-15T09:24:25Z</dcterms:created>
  <dc:creator>Wade</dc:creator>
  <cp:lastModifiedBy>叶伟叨</cp:lastModifiedBy>
  <dcterms:modified xsi:type="dcterms:W3CDTF">2025-12-15T09:24:45Z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6F17E7DC6F764D4E8658BC76FDD181DC</vt:lpwstr>
  </property>
</Properties>
</file>