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2"/>
      </w:tblGrid>
      <w:tr>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552" w:type="dxa"/>
            <w:noWrap w:val="0"/>
            <w:vAlign w:val="top"/>
          </w:tcPr>
          <w:p>
            <w:pPr>
              <w:pStyle w:val="4"/>
              <w:numPr>
                <w:ilvl w:val="0"/>
                <w:numId w:val="0"/>
              </w:numPr>
              <w:autoSpaceDE w:val="0"/>
              <w:autoSpaceDN w:val="0"/>
              <w:snapToGrid w:val="0"/>
              <w:rPr>
                <w:rFonts w:hint="eastAsia"/>
                <w:b/>
                <w:bCs/>
                <w:color w:val="FF0000"/>
                <w:spacing w:val="-50"/>
                <w:w w:val="90"/>
                <w:kern w:val="72"/>
                <w:sz w:val="72"/>
                <w:szCs w:val="72"/>
              </w:rPr>
            </w:pPr>
            <w:r>
              <w:rPr>
                <w:rFonts w:hint="eastAsia"/>
                <w:b/>
                <w:bCs/>
                <w:color w:val="FF0000"/>
                <w:spacing w:val="120"/>
                <w:kern w:val="72"/>
                <w:sz w:val="72"/>
                <w:szCs w:val="72"/>
              </w:rPr>
              <w:t>东莞市发展和改革局</w:t>
            </w:r>
          </w:p>
        </w:tc>
      </w:tr>
    </w:tbl>
    <w:p>
      <w:pPr>
        <w:pStyle w:val="6"/>
        <w:keepNext w:val="0"/>
        <w:keepLines w:val="0"/>
        <w:pageBreakBefore w:val="0"/>
        <w:widowControl w:val="0"/>
        <w:kinsoku/>
        <w:wordWrap/>
        <w:overflowPunct/>
        <w:topLinePunct w:val="0"/>
        <w:autoSpaceDE/>
        <w:autoSpaceDN/>
        <w:bidi w:val="0"/>
        <w:adjustRightInd w:val="0"/>
        <w:snapToGrid w:val="0"/>
        <w:spacing w:line="600" w:lineRule="exact"/>
        <w:ind w:right="501" w:firstLine="688"/>
        <w:jc w:val="right"/>
        <w:textAlignment w:val="auto"/>
        <w:rPr>
          <w:snapToGrid w:val="0"/>
          <w:szCs w:val="32"/>
        </w:rPr>
      </w:pPr>
      <w:bookmarkStart w:id="0" w:name="documentNumber"/>
      <w:r>
        <w:rPr>
          <w:rFonts w:hint="eastAsia"/>
          <w:snapToGrid w:val="0"/>
          <w:szCs w:val="32"/>
          <w:lang w:eastAsia="zh-CN"/>
        </w:rPr>
        <w:t>东发改函〔2025〕107号</w:t>
      </w:r>
      <w:bookmarkEnd w:id="0"/>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仿宋_GB2312" w:cs="Times New Roman"/>
          <w:sz w:val="32"/>
          <w:szCs w:val="32"/>
        </w:rPr>
      </w:pPr>
      <w:bookmarkStart w:id="1" w:name="documentTile"/>
      <w:r>
        <w:rPr>
          <w:rFonts w:hint="eastAsia" w:ascii="Times New Roman" w:hAnsi="Times New Roman" w:eastAsia="仿宋_GB2312" w:cs="Times New Roman"/>
          <w:sz w:val="32"/>
          <w:szCs w:val="32"/>
        </w:rPr>
        <w:t xml:space="preserve">                                       （</w:t>
      </w:r>
      <w:r>
        <w:rPr>
          <w:rFonts w:hint="eastAsia" w:cs="Times New Roman"/>
          <w:sz w:val="32"/>
          <w:szCs w:val="32"/>
          <w:lang w:val="en-US" w:eastAsia="zh-CN"/>
        </w:rPr>
        <w:t>B</w:t>
      </w:r>
      <w:r>
        <w:rPr>
          <w:rFonts w:hint="eastAsia" w:ascii="Times New Roman" w:hAnsi="Times New Roman" w:eastAsia="仿宋_GB2312" w:cs="Times New Roman"/>
          <w:sz w:val="32"/>
          <w:szCs w:val="32"/>
        </w:rPr>
        <w:t>类）</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eastAsia="华康简标题宋"/>
          <w:sz w:val="44"/>
          <w:szCs w:val="44"/>
        </w:rPr>
      </w:pPr>
      <w:r>
        <w:rPr>
          <w:rFonts w:hint="eastAsia" w:ascii="方正小标宋简体" w:hAnsi="方正小标宋简体" w:eastAsia="方正小标宋简体" w:cs="方正小标宋简体"/>
          <w:sz w:val="44"/>
          <w:szCs w:val="44"/>
          <w:lang w:eastAsia="zh-CN"/>
        </w:rPr>
        <w:t>市发展改革局关于东莞市政协十四届四次会议第20250112号政协提案答复的函</w:t>
      </w:r>
      <w:bookmarkEnd w:id="1"/>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DOCVARIABLE  FlSubject  \* MERGEFORMAT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szCs w:val="32"/>
        </w:rPr>
      </w:pPr>
      <w:bookmarkStart w:id="2" w:name="recipient"/>
      <w:r>
        <w:rPr>
          <w:rFonts w:hint="eastAsia"/>
          <w:szCs w:val="32"/>
          <w:lang w:eastAsia="zh-CN"/>
        </w:rPr>
        <w:t>尊敬的蓝光明委员</w:t>
      </w:r>
      <w:bookmarkEnd w:id="2"/>
      <w:r>
        <w:rPr>
          <w:szCs w:val="32"/>
        </w:rPr>
        <w:fldChar w:fldCharType="begin"/>
      </w:r>
      <w:r>
        <w:rPr>
          <w:szCs w:val="32"/>
        </w:rPr>
        <w:instrText xml:space="preserve"> DOCVARIABLE  FlMainSend  \* MERGEFORMAT </w:instrText>
      </w:r>
      <w:r>
        <w:rPr>
          <w:szCs w:val="32"/>
        </w:rPr>
        <w:fldChar w:fldCharType="separate"/>
      </w:r>
      <w:r>
        <w:rPr>
          <w:szCs w:val="32"/>
        </w:rPr>
        <w:fldChar w:fldCharType="end"/>
      </w:r>
      <w:r>
        <w:rPr>
          <w:szCs w:val="32"/>
        </w:rPr>
        <w:t>：</w:t>
      </w:r>
    </w:p>
    <w:p>
      <w:pPr>
        <w:spacing w:line="580" w:lineRule="exact"/>
        <w:ind w:firstLine="688"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您提</w:t>
      </w:r>
      <w:r>
        <w:rPr>
          <w:rFonts w:ascii="Times New Roman" w:hAnsi="Times New Roman" w:eastAsia="仿宋_GB2312" w:cs="Times New Roman"/>
          <w:color w:val="auto"/>
          <w:sz w:val="32"/>
          <w:szCs w:val="32"/>
        </w:rPr>
        <w:t>出的</w:t>
      </w:r>
      <w:r>
        <w:rPr>
          <w:rFonts w:hint="eastAsia" w:ascii="Times New Roman" w:hAnsi="Times New Roman" w:eastAsia="仿宋_GB2312" w:cs="Times New Roman"/>
          <w:color w:val="auto"/>
          <w:sz w:val="32"/>
          <w:szCs w:val="32"/>
        </w:rPr>
        <w:t>《关于进一步夯实东莞与台湾两岸同城化待遇，促进两岸深度融合发展的建议》（第</w:t>
      </w:r>
      <w:r>
        <w:rPr>
          <w:rFonts w:hint="eastAsia" w:ascii="Times New Roman" w:hAnsi="Times New Roman" w:cs="Times New Roman"/>
          <w:color w:val="auto"/>
          <w:sz w:val="32"/>
          <w:szCs w:val="32"/>
          <w:lang w:val="en-US" w:eastAsia="zh-CN"/>
        </w:rPr>
        <w:t>20250112</w:t>
      </w:r>
      <w:r>
        <w:rPr>
          <w:rFonts w:hint="eastAsia" w:ascii="Times New Roman" w:hAnsi="Times New Roman" w:eastAsia="仿宋_GB2312" w:cs="Times New Roman"/>
          <w:color w:val="auto"/>
          <w:sz w:val="32"/>
          <w:szCs w:val="32"/>
        </w:rPr>
        <w:t>号）提案</w:t>
      </w:r>
      <w:r>
        <w:rPr>
          <w:rFonts w:ascii="Times New Roman" w:hAnsi="Times New Roman" w:eastAsia="仿宋_GB2312" w:cs="Times New Roman"/>
          <w:color w:val="auto"/>
          <w:sz w:val="32"/>
          <w:szCs w:val="32"/>
        </w:rPr>
        <w:t>收悉</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经综合</w:t>
      </w:r>
      <w:r>
        <w:rPr>
          <w:rFonts w:hint="eastAsia" w:ascii="Times New Roman" w:hAnsi="Times New Roman" w:eastAsia="仿宋_GB2312" w:cs="Times New Roman"/>
          <w:color w:val="auto"/>
          <w:sz w:val="32"/>
          <w:szCs w:val="32"/>
          <w:lang w:eastAsia="zh-CN"/>
        </w:rPr>
        <w:t>市委</w:t>
      </w:r>
      <w:r>
        <w:rPr>
          <w:rFonts w:hint="eastAsia" w:ascii="Times New Roman" w:hAnsi="Times New Roman" w:cs="Times New Roman"/>
          <w:color w:val="auto"/>
          <w:sz w:val="32"/>
          <w:szCs w:val="32"/>
          <w:lang w:eastAsia="zh-CN"/>
        </w:rPr>
        <w:t>台港澳办、市教育局、市人力资源社会保障局、市文化广电旅游体育局、市卫生健康局、市政务服务和数据管理局</w:t>
      </w:r>
      <w:r>
        <w:rPr>
          <w:rFonts w:hint="eastAsia" w:ascii="Times New Roman" w:hAnsi="Times New Roman" w:eastAsia="仿宋_GB2312" w:cs="Times New Roman"/>
          <w:color w:val="auto"/>
          <w:sz w:val="32"/>
          <w:szCs w:val="32"/>
          <w:lang w:eastAsia="zh-CN"/>
        </w:rPr>
        <w:t>等单位</w:t>
      </w:r>
      <w:r>
        <w:rPr>
          <w:rFonts w:ascii="Times New Roman" w:hAnsi="Times New Roman" w:eastAsia="仿宋_GB2312" w:cs="Times New Roman"/>
          <w:color w:val="auto"/>
          <w:sz w:val="32"/>
          <w:szCs w:val="32"/>
        </w:rPr>
        <w:t>意见，现答复如下：</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东莞是全国对台工作的重点城市，也是中国大陆台商投资最为密集的地区之一，台资企业的数量、投资额均居全国前列。自1988年首家台资企业进入东莞以来，全市累计批准的台资企业超过一万家，约占全国十分之一。2023年9月，国务院正式批复《东莞深化两岸创新发展合作总体方案》</w:t>
      </w:r>
      <w:r>
        <w:rPr>
          <w:rFonts w:hint="eastAsia" w:ascii="Times New Roman" w:hAnsi="Times New Roman" w:cs="Times New Roman"/>
          <w:color w:val="auto"/>
          <w:sz w:val="32"/>
          <w:szCs w:val="32"/>
          <w:lang w:val="en-US" w:eastAsia="zh-CN"/>
        </w:rPr>
        <w:t>，赋予东莞“两岸产业创新发展的新引擎、两岸科技创新合作的新高地、两岸社会人文交流的新枢纽、海峡两岸暨港澳地区交流合作的新平台”的战略定位。《总体方案》获批以来，我市积极展宣传解读，出台相应配套政策，建立组织实施机制，不断探索两岸创新发展合作路径，取得了一系列的成果。</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一、推动两岸创新发展合作工作情况</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cs="Times New Roman"/>
          <w:color w:val="auto"/>
          <w:szCs w:val="32"/>
          <w:highlight w:val="none"/>
          <w:lang w:val="en-US" w:eastAsia="zh-CN"/>
        </w:rPr>
      </w:pPr>
      <w:r>
        <w:rPr>
          <w:rFonts w:hint="default" w:ascii="Times New Roman" w:hAnsi="Times New Roman" w:cs="Times New Roman"/>
          <w:b/>
          <w:bCs/>
          <w:color w:val="auto"/>
          <w:sz w:val="32"/>
          <w:szCs w:val="32"/>
          <w:lang w:val="en-US" w:eastAsia="zh-CN"/>
        </w:rPr>
        <w:t>一是建立健全</w:t>
      </w:r>
      <w:r>
        <w:rPr>
          <w:rFonts w:hint="eastAsia" w:ascii="Times New Roman" w:hAnsi="Times New Roman" w:cs="Times New Roman"/>
          <w:b/>
          <w:bCs/>
          <w:color w:val="auto"/>
          <w:sz w:val="32"/>
          <w:szCs w:val="32"/>
          <w:lang w:val="en-US" w:eastAsia="zh-CN"/>
        </w:rPr>
        <w:t>工作</w:t>
      </w:r>
      <w:r>
        <w:rPr>
          <w:rFonts w:hint="default" w:ascii="Times New Roman" w:hAnsi="Times New Roman" w:cs="Times New Roman"/>
          <w:b/>
          <w:bCs/>
          <w:color w:val="auto"/>
          <w:sz w:val="32"/>
          <w:szCs w:val="32"/>
          <w:lang w:val="en-US" w:eastAsia="zh-CN"/>
        </w:rPr>
        <w:t>机制。</w:t>
      </w:r>
      <w:r>
        <w:rPr>
          <w:rFonts w:hint="default" w:ascii="Times New Roman" w:hAnsi="Times New Roman" w:cs="Times New Roman"/>
          <w:color w:val="auto"/>
          <w:sz w:val="32"/>
          <w:szCs w:val="32"/>
          <w:lang w:val="en-US" w:eastAsia="zh-CN"/>
        </w:rPr>
        <w:t>成立市主要领导任组长的“东莞深化两岸创新发展合作工作领导小组”</w:t>
      </w:r>
      <w:r>
        <w:rPr>
          <w:rFonts w:hint="eastAsia" w:ascii="Times New Roman" w:hAnsi="Times New Roman" w:cs="Times New Roman"/>
          <w:color w:val="auto"/>
          <w:sz w:val="32"/>
          <w:szCs w:val="32"/>
          <w:lang w:val="en-US" w:eastAsia="zh-CN"/>
        </w:rPr>
        <w:t>，定期梳理推进东莞深化两岸创新发展合作的政策建议诉求，加强与相关国家部委对接汇报，争取在政策安排、改革创新、项目实施等方面给予积极支持。</w:t>
      </w:r>
      <w:r>
        <w:rPr>
          <w:rFonts w:hint="eastAsia" w:cs="Times New Roman"/>
          <w:color w:val="auto"/>
          <w:sz w:val="32"/>
          <w:szCs w:val="32"/>
          <w:lang w:val="en-US" w:eastAsia="zh-CN"/>
        </w:rPr>
        <w:t>同时，</w:t>
      </w:r>
      <w:r>
        <w:rPr>
          <w:rFonts w:hint="eastAsia" w:cs="Times New Roman"/>
          <w:spacing w:val="0"/>
          <w:kern w:val="0"/>
          <w:sz w:val="32"/>
          <w:szCs w:val="32"/>
          <w:highlight w:val="none"/>
          <w:lang w:eastAsia="zh-CN"/>
        </w:rPr>
        <w:t>建立政策落实跟踪协调机制，清单式、台账式跟踪各项政策进展，及时协调存在问题，</w:t>
      </w:r>
      <w:r>
        <w:rPr>
          <w:rFonts w:hint="eastAsia" w:ascii="Times New Roman" w:hAnsi="Times New Roman" w:cs="Times New Roman"/>
          <w:color w:val="auto"/>
          <w:sz w:val="32"/>
          <w:szCs w:val="32"/>
          <w:lang w:val="en-US" w:eastAsia="zh-CN"/>
        </w:rPr>
        <w:t>有效</w:t>
      </w:r>
      <w:r>
        <w:rPr>
          <w:rFonts w:hint="default" w:ascii="Times New Roman" w:hAnsi="Times New Roman" w:cs="Times New Roman"/>
          <w:color w:val="auto"/>
          <w:sz w:val="32"/>
          <w:szCs w:val="32"/>
          <w:lang w:val="en-US" w:eastAsia="zh-CN"/>
        </w:rPr>
        <w:t>推进落实</w:t>
      </w:r>
      <w:r>
        <w:rPr>
          <w:rFonts w:hint="eastAsia" w:ascii="Times New Roman" w:hAnsi="Times New Roman" w:cs="Times New Roman"/>
          <w:color w:val="auto"/>
          <w:sz w:val="32"/>
          <w:szCs w:val="32"/>
          <w:lang w:val="en-US" w:eastAsia="zh-CN"/>
        </w:rPr>
        <w:t>部省际会议议定政策事项和省市支持政策</w:t>
      </w:r>
      <w:r>
        <w:rPr>
          <w:rFonts w:hint="eastAsia" w:cs="Times New Roman"/>
          <w:color w:val="auto"/>
          <w:szCs w:val="32"/>
          <w:highlight w:val="none"/>
          <w:lang w:val="en-US" w:eastAsia="zh-CN"/>
        </w:rPr>
        <w:t>。</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二是推动台湾居民来往大陆通行证在政务服务全流程便利化应用。</w:t>
      </w:r>
      <w:r>
        <w:rPr>
          <w:rFonts w:hint="eastAsia" w:ascii="Times New Roman" w:hAnsi="Times New Roman" w:cs="Times New Roman"/>
          <w:color w:val="auto"/>
          <w:sz w:val="32"/>
          <w:szCs w:val="32"/>
          <w:lang w:val="en-US" w:eastAsia="zh-CN"/>
        </w:rPr>
        <w:t>建立健全涉台数据共享机制，深入推进台湾居民来往大陆通行证在政务服务事项全流程便利化应用。市镇两级政务服务大厅已通过改造基本实现台湾同胞凭有关身份证件进行预约和办事；结合省有关指引，“i莞家”等移动端政务服务平台通过省统一身份认证实现身份的对接与运用。目前东莞支持台湾同胞办理的政务服务事项共326项，覆盖公安、民政、社保、医保等领域。</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三是落实台湾籍学生教育同等待遇方面。</w:t>
      </w:r>
      <w:r>
        <w:rPr>
          <w:rFonts w:hint="eastAsia" w:ascii="Times New Roman" w:hAnsi="Times New Roman" w:cs="Times New Roman"/>
          <w:color w:val="auto"/>
          <w:sz w:val="32"/>
          <w:szCs w:val="32"/>
          <w:lang w:val="en-US" w:eastAsia="zh-CN"/>
        </w:rPr>
        <w:t>东莞市教育局和台港澳事务局于2025年4月14日联合印发《中国台湾户籍学生在莞接受义务教育的实施细则》（东教函〔2025〕8号），进一步落实落细中国台湾适龄儿童少年在莞接受义务教育与户籍学生同等待遇。文件规定年满6周岁且不超过18周岁的中国台湾适龄儿童、少年，可按规定申请入读东莞义务教育阶段学校，享受本市户籍适龄儿童少年入学的同等待遇。</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四是大力推进卫生健康领域与台湾深度合作。</w:t>
      </w:r>
      <w:r>
        <w:rPr>
          <w:rFonts w:hint="eastAsia" w:ascii="Times New Roman" w:hAnsi="Times New Roman" w:cs="Times New Roman"/>
          <w:color w:val="auto"/>
          <w:sz w:val="32"/>
          <w:szCs w:val="32"/>
          <w:lang w:val="en-US" w:eastAsia="zh-CN"/>
        </w:rPr>
        <w:t>支持东莞台心医院加强学科建设，并将血液科列入东莞市重点专科，推动台心医院成功创建为东莞市创伤中心、广东省胸痛中心和国家级胸痛中心（基层版），有效满足在莞台胞就医需求。</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b w:val="0"/>
          <w:bCs/>
          <w:color w:val="auto"/>
          <w:sz w:val="32"/>
          <w:szCs w:val="32"/>
          <w:highlight w:val="none"/>
        </w:rPr>
        <w:t>优化</w:t>
      </w:r>
      <w:r>
        <w:rPr>
          <w:rFonts w:hint="eastAsia" w:ascii="仿宋_GB2312" w:hAnsi="仿宋_GB2312" w:eastAsia="仿宋_GB2312" w:cs="仿宋_GB2312"/>
          <w:b w:val="0"/>
          <w:bCs/>
          <w:color w:val="auto"/>
          <w:sz w:val="32"/>
          <w:szCs w:val="32"/>
          <w:highlight w:val="none"/>
          <w:lang w:eastAsia="zh-CN"/>
        </w:rPr>
        <w:t>台湾</w:t>
      </w:r>
      <w:r>
        <w:rPr>
          <w:rFonts w:hint="eastAsia" w:ascii="仿宋_GB2312" w:hAnsi="仿宋_GB2312" w:eastAsia="仿宋_GB2312" w:cs="仿宋_GB2312"/>
          <w:b w:val="0"/>
          <w:bCs/>
          <w:color w:val="auto"/>
          <w:sz w:val="32"/>
          <w:szCs w:val="32"/>
          <w:highlight w:val="none"/>
        </w:rPr>
        <w:t>服务提供者来莞办医或执业审批流程</w:t>
      </w:r>
      <w:r>
        <w:rPr>
          <w:rFonts w:hint="eastAsia" w:ascii="仿宋_GB2312" w:hAnsi="仿宋_GB2312" w:cs="仿宋_GB2312"/>
          <w:b w:val="0"/>
          <w:bCs/>
          <w:color w:val="auto"/>
          <w:sz w:val="32"/>
          <w:szCs w:val="32"/>
          <w:highlight w:val="none"/>
          <w:lang w:eastAsia="zh-CN"/>
        </w:rPr>
        <w:t>，积极促进台湾人员来内地交流、执业及办医。</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五是加大对台湾青年就业创业的政策支持力度。</w:t>
      </w:r>
      <w:r>
        <w:rPr>
          <w:rFonts w:hint="default" w:ascii="Times New Roman" w:hAnsi="Times New Roman" w:cs="Times New Roman"/>
          <w:color w:val="auto"/>
          <w:sz w:val="32"/>
          <w:szCs w:val="32"/>
          <w:lang w:val="en-US" w:eastAsia="zh-CN"/>
        </w:rPr>
        <w:t>出台《共建台湾同胞宜居宜业美好家园若干措施》</w:t>
      </w:r>
      <w:r>
        <w:rPr>
          <w:rFonts w:hint="eastAsia" w:cs="Times New Roman"/>
          <w:color w:val="auto"/>
          <w:sz w:val="32"/>
          <w:szCs w:val="32"/>
          <w:lang w:val="en-US" w:eastAsia="zh-CN"/>
        </w:rPr>
        <w:t>及修订版政策</w:t>
      </w:r>
      <w:r>
        <w:rPr>
          <w:rFonts w:hint="default" w:ascii="Times New Roman" w:hAnsi="Times New Roman" w:cs="Times New Roman"/>
          <w:color w:val="auto"/>
          <w:sz w:val="32"/>
          <w:szCs w:val="32"/>
          <w:lang w:val="en-US" w:eastAsia="zh-CN"/>
        </w:rPr>
        <w:t>，提出支持台胞台青就业、实习、创业等2</w:t>
      </w:r>
      <w:r>
        <w:rPr>
          <w:rFonts w:hint="eastAsia" w:cs="Times New Roman"/>
          <w:color w:val="auto"/>
          <w:sz w:val="32"/>
          <w:szCs w:val="32"/>
          <w:lang w:val="en-US" w:eastAsia="zh-CN"/>
        </w:rPr>
        <w:t>1</w:t>
      </w:r>
      <w:r>
        <w:rPr>
          <w:rFonts w:hint="default" w:ascii="Times New Roman" w:hAnsi="Times New Roman" w:cs="Times New Roman"/>
          <w:color w:val="auto"/>
          <w:sz w:val="32"/>
          <w:szCs w:val="32"/>
          <w:lang w:val="en-US" w:eastAsia="zh-CN"/>
        </w:rPr>
        <w:t>项措施</w:t>
      </w:r>
      <w:r>
        <w:rPr>
          <w:rFonts w:hint="eastAsia" w:ascii="Times New Roman" w:hAnsi="Times New Roman" w:cs="Times New Roman"/>
          <w:color w:val="auto"/>
          <w:sz w:val="32"/>
          <w:szCs w:val="32"/>
          <w:lang w:val="en-US" w:eastAsia="zh-CN"/>
        </w:rPr>
        <w:t>，推动在莞台胞同等享受就业创业政策，实施用人单位聘用台湾青年就业补助。</w:t>
      </w:r>
      <w:r>
        <w:rPr>
          <w:rFonts w:hint="default" w:ascii="Times New Roman" w:hAnsi="Times New Roman" w:cs="Times New Roman"/>
          <w:color w:val="auto"/>
          <w:sz w:val="32"/>
          <w:szCs w:val="32"/>
          <w:lang w:val="en-US" w:eastAsia="zh-CN"/>
        </w:rPr>
        <w:t>定期归集符合条件的岗位需求信息，积极举办政策宣讲会和招聘会</w:t>
      </w:r>
      <w:r>
        <w:rPr>
          <w:rFonts w:hint="eastAsia" w:ascii="Times New Roman" w:hAnsi="Times New Roman" w:cs="Times New Roman"/>
          <w:color w:val="auto"/>
          <w:sz w:val="32"/>
          <w:szCs w:val="32"/>
          <w:lang w:val="en-US" w:eastAsia="zh-CN"/>
        </w:rPr>
        <w:t>。2024年以来，</w:t>
      </w:r>
      <w:r>
        <w:rPr>
          <w:rFonts w:hint="default" w:ascii="Times New Roman" w:hAnsi="Times New Roman" w:cs="Times New Roman"/>
          <w:color w:val="auto"/>
          <w:sz w:val="32"/>
          <w:szCs w:val="32"/>
          <w:lang w:val="en-US" w:eastAsia="zh-CN"/>
        </w:rPr>
        <w:t>政策宣讲会覆盖全市各镇街（园区），超7000人次</w:t>
      </w:r>
      <w:r>
        <w:rPr>
          <w:rFonts w:hint="eastAsia" w:ascii="Times New Roman" w:hAnsi="Times New Roman" w:cs="Times New Roman"/>
          <w:color w:val="auto"/>
          <w:sz w:val="32"/>
          <w:szCs w:val="32"/>
          <w:lang w:val="en-US" w:eastAsia="zh-CN"/>
        </w:rPr>
        <w:t>台胞</w:t>
      </w:r>
      <w:r>
        <w:rPr>
          <w:rFonts w:hint="default" w:ascii="Times New Roman" w:hAnsi="Times New Roman" w:cs="Times New Roman"/>
          <w:color w:val="auto"/>
          <w:sz w:val="32"/>
          <w:szCs w:val="32"/>
          <w:lang w:val="en-US" w:eastAsia="zh-CN"/>
        </w:rPr>
        <w:t>参加，网络招聘会共3场，组织1022家企业参与，提供岗位6442个。</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六是积极做好台胞职业资格一体化服务。</w:t>
      </w:r>
      <w:r>
        <w:rPr>
          <w:rFonts w:hint="eastAsia" w:ascii="Times New Roman" w:hAnsi="Times New Roman" w:cs="Times New Roman"/>
          <w:b w:val="0"/>
          <w:bCs w:val="0"/>
          <w:color w:val="auto"/>
          <w:sz w:val="32"/>
          <w:szCs w:val="32"/>
          <w:lang w:val="en-US" w:eastAsia="zh-CN"/>
        </w:rPr>
        <w:t>推进专业技术职称认可，</w:t>
      </w:r>
      <w:r>
        <w:rPr>
          <w:rFonts w:hint="eastAsia" w:ascii="Times New Roman" w:hAnsi="Times New Roman" w:cs="Times New Roman"/>
          <w:color w:val="auto"/>
          <w:sz w:val="32"/>
          <w:szCs w:val="32"/>
          <w:lang w:val="en-US" w:eastAsia="zh-CN"/>
        </w:rPr>
        <w:t>起草《东莞市台湾地区职业资格视同职称认可目录（第一批）》（送审稿），计划开展建筑师等台湾地区职业资格认可。开展技能类职业资格采信采认，与两岸（平潭）职业资格一体化服务中心签订协议，在东莞市民服务中心台港澳服务专区设立两岸（平潭）职业资格一体化服务东莞工作站，依托工作站为台胞提供50项技能类职业资格采信采认服务。</w:t>
      </w:r>
    </w:p>
    <w:p>
      <w:pPr>
        <w:pageBreakBefore w:val="0"/>
        <w:widowControl w:val="0"/>
        <w:numPr>
          <w:ilvl w:val="0"/>
          <w:numId w:val="0"/>
        </w:numPr>
        <w:kinsoku/>
        <w:wordWrap/>
        <w:overflowPunct/>
        <w:topLinePunct w:val="0"/>
        <w:autoSpaceDE/>
        <w:autoSpaceDN/>
        <w:bidi w:val="0"/>
        <w:adjustRightInd/>
        <w:snapToGrid/>
        <w:spacing w:line="580" w:lineRule="exact"/>
        <w:ind w:firstLine="68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七是广泛开展莞台交流融合活动。</w:t>
      </w:r>
      <w:r>
        <w:rPr>
          <w:rFonts w:hint="eastAsia" w:ascii="Times New Roman" w:hAnsi="Times New Roman" w:cs="Times New Roman"/>
          <w:color w:val="auto"/>
          <w:sz w:val="32"/>
          <w:szCs w:val="32"/>
          <w:lang w:val="en-US" w:eastAsia="zh-CN"/>
        </w:rPr>
        <w:t>举办“我为东莞种棵树 共建莞台融合林”、“融·</w:t>
      </w:r>
      <w:r>
        <w:rPr>
          <w:rFonts w:hint="eastAsia" w:cs="Times New Roman"/>
          <w:color w:val="auto"/>
          <w:sz w:val="32"/>
          <w:szCs w:val="32"/>
          <w:lang w:val="en-US" w:eastAsia="zh-CN"/>
        </w:rPr>
        <w:t>和</w:t>
      </w:r>
      <w:r>
        <w:rPr>
          <w:rFonts w:hint="eastAsia" w:ascii="Times New Roman" w:hAnsi="Times New Roman" w:cs="Times New Roman"/>
          <w:color w:val="auto"/>
          <w:sz w:val="32"/>
          <w:szCs w:val="32"/>
          <w:lang w:val="en-US" w:eastAsia="zh-CN"/>
        </w:rPr>
        <w:t>”两岸文化产业艺术展、台湾青年岭南行校园文化交流营、莞台青年篮球邀请赛、粤台港澳大学生人工智能机器人邀请赛等一系列具有影响力的莞台人文交流、青少年交流活动。</w:t>
      </w:r>
    </w:p>
    <w:p>
      <w:pPr>
        <w:widowControl/>
        <w:numPr>
          <w:ilvl w:val="0"/>
          <w:numId w:val="0"/>
        </w:numPr>
        <w:spacing w:line="580" w:lineRule="exact"/>
        <w:ind w:firstLine="688"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二、下一步工作建议</w:t>
      </w:r>
    </w:p>
    <w:p>
      <w:pPr>
        <w:widowControl/>
        <w:spacing w:line="580" w:lineRule="exact"/>
        <w:ind w:firstLine="688" w:firstLineChars="200"/>
        <w:rPr>
          <w:rFonts w:hint="eastAsia" w:ascii="Times New Roman" w:hAnsi="Times New Roman"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下来，我</w:t>
      </w:r>
      <w:r>
        <w:rPr>
          <w:rFonts w:hint="eastAsia" w:ascii="Times New Roman" w:hAnsi="Times New Roman" w:eastAsia="仿宋_GB2312" w:cs="Times New Roman"/>
          <w:b w:val="0"/>
          <w:bCs w:val="0"/>
          <w:color w:val="000000"/>
          <w:sz w:val="32"/>
          <w:szCs w:val="32"/>
          <w:lang w:val="en-US" w:eastAsia="zh-CN"/>
        </w:rPr>
        <w:t>市</w:t>
      </w:r>
      <w:r>
        <w:rPr>
          <w:rFonts w:hint="default" w:ascii="Times New Roman" w:hAnsi="Times New Roman" w:eastAsia="仿宋_GB2312" w:cs="Times New Roman"/>
          <w:b w:val="0"/>
          <w:bCs w:val="0"/>
          <w:color w:val="000000"/>
          <w:sz w:val="32"/>
          <w:szCs w:val="32"/>
          <w:lang w:val="en-US" w:eastAsia="zh-CN"/>
        </w:rPr>
        <w:t>将在国家有关部委的大力支持下，坚持以“两岸一家亲”为底色，以“融合促发展”为主线，积极引导支持台胞台企共享发展机遇，为探索两岸融合发展新路作出新的更大贡献</w:t>
      </w:r>
      <w:r>
        <w:rPr>
          <w:rFonts w:hint="eastAsia" w:ascii="Times New Roman" w:hAnsi="Times New Roman" w:cs="Times New Roman"/>
          <w:b w:val="0"/>
          <w:bCs w:val="0"/>
          <w:color w:val="000000"/>
          <w:sz w:val="32"/>
          <w:szCs w:val="32"/>
          <w:lang w:val="en-US" w:eastAsia="zh-CN"/>
        </w:rPr>
        <w:t>。</w:t>
      </w:r>
    </w:p>
    <w:p>
      <w:pPr>
        <w:widowControl/>
        <w:spacing w:line="580" w:lineRule="exact"/>
        <w:ind w:firstLine="688" w:firstLineChars="200"/>
        <w:rPr>
          <w:rFonts w:hint="eastAsia" w:ascii="Times New Roman" w:hAnsi="Times New Roman" w:cs="Times New Roman"/>
          <w:b w:val="0"/>
          <w:bCs w:val="0"/>
          <w:color w:val="000000"/>
          <w:sz w:val="32"/>
          <w:szCs w:val="32"/>
          <w:lang w:val="en-US" w:eastAsia="zh-CN"/>
        </w:rPr>
      </w:pPr>
      <w:r>
        <w:rPr>
          <w:rFonts w:hint="eastAsia" w:ascii="Times New Roman" w:hAnsi="Times New Roman" w:cs="Times New Roman"/>
          <w:b/>
          <w:bCs/>
          <w:color w:val="000000"/>
          <w:sz w:val="32"/>
          <w:szCs w:val="32"/>
          <w:lang w:val="en-US" w:eastAsia="zh-CN"/>
        </w:rPr>
        <w:t>一是持续推进深化两岸创新发展合作。</w:t>
      </w:r>
      <w:r>
        <w:rPr>
          <w:rFonts w:hint="eastAsia" w:ascii="Times New Roman" w:hAnsi="Times New Roman" w:cs="Times New Roman"/>
          <w:b w:val="0"/>
          <w:bCs w:val="0"/>
          <w:color w:val="000000"/>
          <w:sz w:val="32"/>
          <w:szCs w:val="32"/>
          <w:lang w:val="en-US" w:eastAsia="zh-CN"/>
        </w:rPr>
        <w:t>依托部省</w:t>
      </w:r>
      <w:r>
        <w:rPr>
          <w:rFonts w:hint="eastAsia" w:cs="Times New Roman"/>
          <w:b w:val="0"/>
          <w:bCs w:val="0"/>
          <w:color w:val="000000"/>
          <w:sz w:val="32"/>
          <w:szCs w:val="32"/>
          <w:lang w:val="en-US" w:eastAsia="zh-CN"/>
        </w:rPr>
        <w:t>际</w:t>
      </w:r>
      <w:r>
        <w:rPr>
          <w:rFonts w:hint="eastAsia" w:ascii="Times New Roman" w:hAnsi="Times New Roman" w:cs="Times New Roman"/>
          <w:b w:val="0"/>
          <w:bCs w:val="0"/>
          <w:color w:val="000000"/>
          <w:sz w:val="32"/>
          <w:szCs w:val="32"/>
          <w:lang w:val="en-US" w:eastAsia="zh-CN"/>
        </w:rPr>
        <w:t>会议机制，认真研究谋划新一批需国家支持政策（事项），为台胞台企在莞扎根发展提供更广阔空间、更便利条件。加强与台胞台企的沟通交流，及时协调解决台胞台企遇到的困难问题，扩大台胞证件对接政务服务的覆盖面，简化办事流程，将政策红利转化为实实在在的发展机遇。</w:t>
      </w:r>
    </w:p>
    <w:p>
      <w:pPr>
        <w:widowControl/>
        <w:spacing w:line="580" w:lineRule="exact"/>
        <w:ind w:firstLine="688" w:firstLineChars="200"/>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cs="Times New Roman"/>
          <w:b/>
          <w:bCs/>
          <w:color w:val="000000"/>
          <w:sz w:val="32"/>
          <w:szCs w:val="32"/>
          <w:lang w:val="en-US" w:eastAsia="zh-CN"/>
        </w:rPr>
        <w:t>二是进一步优化资源配置。</w:t>
      </w:r>
      <w:r>
        <w:rPr>
          <w:rFonts w:hint="eastAsia" w:ascii="Times New Roman" w:hAnsi="Times New Roman" w:cs="Times New Roman"/>
          <w:b w:val="0"/>
          <w:bCs w:val="0"/>
          <w:color w:val="000000"/>
          <w:sz w:val="32"/>
          <w:szCs w:val="32"/>
          <w:lang w:val="en-US" w:eastAsia="zh-CN"/>
        </w:rPr>
        <w:t>推动各镇街园区有效落实台湾籍学生教育同等待遇，根据各镇街实际情况，提前做好学位规划，不断优化教育资源配置和动态调整。持续</w:t>
      </w:r>
      <w:r>
        <w:rPr>
          <w:rFonts w:hint="eastAsia" w:ascii="Times New Roman" w:hAnsi="Times New Roman" w:eastAsia="仿宋_GB2312" w:cs="Times New Roman"/>
          <w:b w:val="0"/>
          <w:bCs w:val="0"/>
          <w:color w:val="000000"/>
          <w:sz w:val="32"/>
          <w:szCs w:val="32"/>
          <w:lang w:val="en-US" w:eastAsia="zh-CN"/>
        </w:rPr>
        <w:t>优化医疗机构设置审批、优化台湾服务提供者来莞执业审批流程，鼓励和支持台湾青年来东莞进行学术交流、就业等，鼓励和支持我市医疗机构与台湾开展学术交流提升我市医疗技术和服务水平。</w:t>
      </w:r>
    </w:p>
    <w:p>
      <w:pPr>
        <w:spacing w:line="580" w:lineRule="exact"/>
        <w:ind w:firstLine="688" w:firstLineChars="200"/>
        <w:rPr>
          <w:rFonts w:hint="eastAsia" w:cs="Times New Roman"/>
          <w:b w:val="0"/>
          <w:color w:val="000000"/>
          <w:kern w:val="2"/>
          <w:sz w:val="32"/>
          <w:szCs w:val="32"/>
          <w:shd w:val="clear" w:color="auto" w:fill="FFFFFF"/>
          <w:lang w:val="en-US" w:eastAsia="zh-CN" w:bidi="ar"/>
        </w:rPr>
      </w:pPr>
      <w:r>
        <w:rPr>
          <w:rFonts w:hint="eastAsia" w:ascii="Times New Roman" w:hAnsi="Times New Roman" w:cs="Times New Roman"/>
          <w:b/>
          <w:bCs/>
          <w:sz w:val="32"/>
          <w:szCs w:val="32"/>
          <w:lang w:eastAsia="zh-CN"/>
        </w:rPr>
        <w:t>三是不断完善就业创业环境。</w:t>
      </w:r>
      <w:r>
        <w:rPr>
          <w:rFonts w:hint="eastAsia" w:cs="Times New Roman"/>
          <w:b w:val="0"/>
          <w:bCs w:val="0"/>
          <w:sz w:val="32"/>
          <w:szCs w:val="32"/>
          <w:lang w:eastAsia="zh-CN"/>
        </w:rPr>
        <w:t>宣传</w:t>
      </w:r>
      <w:r>
        <w:rPr>
          <w:rFonts w:hint="eastAsia" w:ascii="Times New Roman" w:hAnsi="Times New Roman" w:cs="Times New Roman"/>
          <w:sz w:val="32"/>
          <w:szCs w:val="32"/>
          <w:lang w:eastAsia="zh-CN"/>
        </w:rPr>
        <w:t>《共建台湾同胞宜居宜业美好家园若干措施（修订）》，</w:t>
      </w:r>
      <w:r>
        <w:rPr>
          <w:rFonts w:hint="default" w:ascii="Times New Roman" w:hAnsi="Times New Roman" w:cs="Times New Roman"/>
          <w:snapToGrid w:val="0"/>
          <w:kern w:val="0"/>
          <w:szCs w:val="32"/>
          <w:lang w:eastAsia="zh-CN"/>
        </w:rPr>
        <w:t>实施好聘用台湾青年补助、创业担保贷款、一次性创业资助、创业场地租金补贴等对台优惠政策</w:t>
      </w:r>
      <w:r>
        <w:rPr>
          <w:rFonts w:hint="eastAsia" w:ascii="Times New Roman" w:hAnsi="Times New Roman" w:cs="Times New Roman"/>
          <w:sz w:val="32"/>
          <w:szCs w:val="32"/>
          <w:lang w:eastAsia="zh-CN"/>
        </w:rPr>
        <w:t>，继续推动松山湖青创基地、滨海湾青创示范点建设，吸引</w:t>
      </w:r>
      <w:r>
        <w:rPr>
          <w:rFonts w:hint="default" w:ascii="Times New Roman" w:hAnsi="Times New Roman" w:eastAsia="仿宋_GB2312" w:cs="Times New Roman"/>
          <w:sz w:val="32"/>
          <w:szCs w:val="32"/>
          <w:lang w:val="en-US" w:eastAsia="zh-CN"/>
        </w:rPr>
        <w:t>帮助台湾青年来莞就业创业。</w:t>
      </w:r>
      <w:r>
        <w:rPr>
          <w:rFonts w:hint="eastAsia" w:ascii="Times New Roman" w:hAnsi="Times New Roman" w:cs="Times New Roman"/>
          <w:sz w:val="32"/>
          <w:szCs w:val="32"/>
          <w:lang w:eastAsia="zh-CN"/>
        </w:rPr>
        <w:t>进一步做好台湾地区职业资格视同职称认可，</w:t>
      </w:r>
      <w:r>
        <w:rPr>
          <w:rFonts w:hint="default" w:ascii="Times New Roman" w:hAnsi="Times New Roman" w:cs="Times New Roman"/>
          <w:b w:val="0"/>
          <w:color w:val="000000"/>
          <w:kern w:val="2"/>
          <w:sz w:val="32"/>
          <w:szCs w:val="32"/>
          <w:shd w:val="clear" w:color="auto" w:fill="FFFFFF"/>
          <w:lang w:val="en-US" w:eastAsia="zh-CN" w:bidi="ar"/>
        </w:rPr>
        <w:t>提请上级部门审批</w:t>
      </w:r>
      <w:r>
        <w:rPr>
          <w:rFonts w:hint="eastAsia" w:ascii="Times New Roman" w:hAnsi="Times New Roman" w:eastAsia="仿宋_GB2312" w:cs="Times New Roman"/>
          <w:sz w:val="32"/>
          <w:szCs w:val="32"/>
        </w:rPr>
        <w:t>《东莞市台湾地区职业资格视同职称认可目录（第一批）》</w:t>
      </w:r>
      <w:r>
        <w:rPr>
          <w:rFonts w:hint="eastAsia" w:ascii="Times New Roman" w:hAnsi="Times New Roman" w:cs="Times New Roman"/>
          <w:sz w:val="32"/>
          <w:szCs w:val="32"/>
          <w:lang w:eastAsia="zh-CN"/>
        </w:rPr>
        <w:t>，推动</w:t>
      </w:r>
      <w:r>
        <w:rPr>
          <w:rFonts w:hint="default" w:ascii="Times New Roman" w:hAnsi="Times New Roman" w:cs="Times New Roman"/>
          <w:b w:val="0"/>
          <w:color w:val="000000"/>
          <w:kern w:val="2"/>
          <w:sz w:val="32"/>
          <w:szCs w:val="32"/>
          <w:shd w:val="clear" w:color="auto" w:fill="FFFFFF"/>
          <w:lang w:val="en-US" w:eastAsia="zh-CN" w:bidi="ar"/>
        </w:rPr>
        <w:t>政策尽快落地</w:t>
      </w:r>
      <w:r>
        <w:rPr>
          <w:rFonts w:hint="eastAsia" w:cs="Times New Roman"/>
          <w:b w:val="0"/>
          <w:color w:val="000000"/>
          <w:kern w:val="2"/>
          <w:sz w:val="32"/>
          <w:szCs w:val="32"/>
          <w:shd w:val="clear" w:color="auto" w:fill="FFFFFF"/>
          <w:lang w:val="en-US" w:eastAsia="zh-CN" w:bidi="ar"/>
        </w:rPr>
        <w:t>。</w:t>
      </w:r>
    </w:p>
    <w:p>
      <w:pPr>
        <w:spacing w:line="580" w:lineRule="exact"/>
        <w:ind w:firstLine="688" w:firstLineChars="200"/>
        <w:rPr>
          <w:rFonts w:ascii="Times New Roman" w:hAnsi="Times New Roman" w:eastAsia="仿宋_GB2312" w:cs="Times New Roman"/>
          <w:sz w:val="32"/>
          <w:szCs w:val="32"/>
        </w:rPr>
      </w:pPr>
      <w:r>
        <w:rPr>
          <w:rFonts w:hint="eastAsia" w:ascii="Times New Roman" w:hAnsi="Times New Roman" w:cs="Times New Roman"/>
          <w:b/>
          <w:bCs/>
          <w:sz w:val="32"/>
          <w:szCs w:val="32"/>
          <w:lang w:eastAsia="zh-CN"/>
        </w:rPr>
        <w:t>四是持续开展民间交流交往。</w:t>
      </w:r>
      <w:r>
        <w:rPr>
          <w:rFonts w:hint="eastAsia" w:ascii="Times New Roman" w:hAnsi="Times New Roman" w:cs="Times New Roman"/>
          <w:sz w:val="32"/>
          <w:szCs w:val="32"/>
          <w:lang w:eastAsia="zh-CN"/>
        </w:rPr>
        <w:t>继续开展莞台文化体育、科技、乡情、法律等</w:t>
      </w:r>
      <w:r>
        <w:rPr>
          <w:rFonts w:hint="eastAsia" w:ascii="Times New Roman" w:hAnsi="Times New Roman" w:cs="Times New Roman"/>
          <w:sz w:val="32"/>
          <w:szCs w:val="32"/>
          <w:lang w:val="en-US" w:eastAsia="zh-CN"/>
        </w:rPr>
        <w:t>等一系列具有影响力的莞台人文交流、青少年交流活动，</w:t>
      </w:r>
      <w:r>
        <w:rPr>
          <w:rFonts w:hint="eastAsia" w:ascii="Times New Roman" w:hAnsi="Times New Roman" w:cs="Times New Roman"/>
          <w:sz w:val="32"/>
          <w:szCs w:val="32"/>
          <w:lang w:eastAsia="zh-CN"/>
        </w:rPr>
        <w:t>精心打造交流品牌，动员台胞参与公益事业，促进两岸人文交流。</w:t>
      </w:r>
    </w:p>
    <w:p>
      <w:pPr>
        <w:spacing w:line="580" w:lineRule="exact"/>
        <w:ind w:firstLine="68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专此答复，诚挚感谢您对</w:t>
      </w:r>
      <w:r>
        <w:rPr>
          <w:rFonts w:hint="eastAsia" w:cs="Times New Roman"/>
          <w:sz w:val="32"/>
          <w:szCs w:val="32"/>
          <w:lang w:eastAsia="zh-CN"/>
        </w:rPr>
        <w:t>市发展改革局</w:t>
      </w:r>
      <w:r>
        <w:rPr>
          <w:rFonts w:ascii="Times New Roman" w:hAnsi="Times New Roman" w:eastAsia="仿宋_GB2312" w:cs="Times New Roman"/>
          <w:sz w:val="32"/>
          <w:szCs w:val="32"/>
        </w:rPr>
        <w:t>工作的关心和支持。</w:t>
      </w:r>
    </w:p>
    <w:p>
      <w:pPr>
        <w:pStyle w:val="5"/>
        <w:numPr>
          <w:ilvl w:val="0"/>
          <w:numId w:val="0"/>
        </w:numPr>
        <w:spacing w:line="580" w:lineRule="exact"/>
        <w:rPr>
          <w:rFonts w:ascii="Times New Roman" w:hAnsi="Times New Roman" w:eastAsia="仿宋_GB2312" w:cs="Times New Roman"/>
          <w:sz w:val="32"/>
          <w:szCs w:val="32"/>
        </w:rPr>
      </w:pPr>
    </w:p>
    <w:p>
      <w:pPr>
        <w:spacing w:line="580" w:lineRule="exact"/>
      </w:pPr>
    </w:p>
    <w:p>
      <w:pPr>
        <w:spacing w:line="580" w:lineRule="exact"/>
        <w:ind w:left="3784" w:leftChars="200" w:hanging="3096" w:hangingChars="9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东莞市发展和改革局</w:t>
      </w:r>
    </w:p>
    <w:p>
      <w:pPr>
        <w:keepNext w:val="0"/>
        <w:keepLines w:val="0"/>
        <w:pageBreakBefore w:val="0"/>
        <w:widowControl w:val="0"/>
        <w:kinsoku/>
        <w:wordWrap/>
        <w:overflowPunct/>
        <w:topLinePunct w:val="0"/>
        <w:autoSpaceDE/>
        <w:autoSpaceDN/>
        <w:bidi w:val="0"/>
        <w:adjustRightInd/>
        <w:snapToGrid/>
        <w:spacing w:line="580" w:lineRule="exact"/>
        <w:ind w:right="344" w:rightChars="100"/>
        <w:jc w:val="center"/>
        <w:textAlignment w:val="auto"/>
        <w:rPr>
          <w:rFonts w:ascii="Times New Roman" w:hAnsi="Times New Roman" w:eastAsia="仿宋_GB2312" w:cs="Times New Roman"/>
          <w:sz w:val="32"/>
          <w:szCs w:val="32"/>
        </w:rPr>
      </w:pPr>
      <w:r>
        <w:rPr>
          <w:rFonts w:hint="eastAsia" w:ascii="Times New Roman" w:hAnsi="Times New Roman" w:cs="Times New Roman"/>
          <w:sz w:val="32"/>
          <w:szCs w:val="32"/>
          <w:lang w:val="en-US" w:eastAsia="zh-CN"/>
        </w:rPr>
        <w:t xml:space="preserve">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8</w:t>
      </w:r>
      <w:r>
        <w:rPr>
          <w:rFonts w:ascii="Times New Roman" w:hAnsi="Times New Roman" w:eastAsia="仿宋_GB2312" w:cs="Times New Roman"/>
          <w:sz w:val="32"/>
          <w:szCs w:val="32"/>
        </w:rPr>
        <w:t>月</w:t>
      </w:r>
      <w:r>
        <w:rPr>
          <w:rFonts w:hint="eastAsia" w:cs="Times New Roman"/>
          <w:sz w:val="32"/>
          <w:szCs w:val="32"/>
          <w:lang w:val="en-US" w:eastAsia="zh-CN"/>
        </w:rPr>
        <w:t>29</w:t>
      </w:r>
      <w:r>
        <w:rPr>
          <w:rFonts w:ascii="Times New Roman" w:hAnsi="Times New Roman" w:eastAsia="仿宋_GB2312" w:cs="Times New Roman"/>
          <w:sz w:val="32"/>
          <w:szCs w:val="32"/>
        </w:rPr>
        <w:t>日</w:t>
      </w:r>
    </w:p>
    <w:p>
      <w:pPr>
        <w:spacing w:line="580" w:lineRule="exact"/>
        <w:jc w:val="both"/>
        <w:rPr>
          <w:rFonts w:ascii="Times New Roman" w:hAnsi="Times New Roman" w:eastAsia="仿宋_GB2312" w:cs="Times New Roman"/>
          <w:sz w:val="32"/>
          <w:szCs w:val="32"/>
        </w:rPr>
      </w:pPr>
    </w:p>
    <w:p>
      <w:pPr>
        <w:spacing w:line="600" w:lineRule="exact"/>
        <w:ind w:firstLine="688" w:firstLineChars="200"/>
      </w:pPr>
      <w:bookmarkStart w:id="3" w:name="_GoBack"/>
      <w:bookmarkEnd w:id="3"/>
    </w:p>
    <w:sectPr>
      <w:footerReference r:id="rId6" w:type="first"/>
      <w:footerReference r:id="rId4" w:type="default"/>
      <w:headerReference r:id="rId3" w:type="even"/>
      <w:footerReference r:id="rId5" w:type="even"/>
      <w:pgSz w:w="11906" w:h="16838"/>
      <w:pgMar w:top="1474" w:right="1474" w:bottom="1157" w:left="1588" w:header="851" w:footer="914" w:gutter="0"/>
      <w:pgNumType w:fmt="decimal"/>
      <w:cols w:space="720" w:num="1"/>
      <w:titlePg/>
      <w:docGrid w:type="linesAndChars" w:linePitch="579"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8"/>
    <w:family w:val="modern"/>
    <w:pitch w:val="default"/>
    <w:sig w:usb0="00000283" w:usb1="080F0C00" w:usb2="00000012" w:usb3="00000000" w:csb0="0016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Style w:val="10"/>
                            </w:rPr>
                          </w:pPr>
                          <w:r>
                            <w:rPr>
                              <w:rFonts w:hint="eastAsia"/>
                            </w:rPr>
                            <w:t>—</w:t>
                          </w:r>
                          <w:r>
                            <w:fldChar w:fldCharType="begin"/>
                          </w:r>
                          <w:r>
                            <w:rPr>
                              <w:rStyle w:val="10"/>
                            </w:rPr>
                            <w:instrText xml:space="preserve">PAGE  </w:instrText>
                          </w:r>
                          <w:r>
                            <w:fldChar w:fldCharType="separate"/>
                          </w:r>
                          <w:r>
                            <w:rPr>
                              <w:rStyle w:val="10"/>
                            </w:rPr>
                            <w:t>3</w:t>
                          </w:r>
                          <w:r>
                            <w:fldChar w:fldCharType="end"/>
                          </w:r>
                          <w:r>
                            <w:rPr>
                              <w:rFonts w:hint="eastAsia"/>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Style w:val="10"/>
                      </w:rPr>
                    </w:pPr>
                    <w:r>
                      <w:rPr>
                        <w:rFonts w:hint="eastAsia"/>
                      </w:rPr>
                      <w:t>—</w:t>
                    </w:r>
                    <w:r>
                      <w:fldChar w:fldCharType="begin"/>
                    </w:r>
                    <w:r>
                      <w:rPr>
                        <w:rStyle w:val="10"/>
                      </w:rPr>
                      <w:instrText xml:space="preserve">PAGE  </w:instrText>
                    </w:r>
                    <w:r>
                      <w:fldChar w:fldCharType="separate"/>
                    </w:r>
                    <w:r>
                      <w:rPr>
                        <w:rStyle w:val="10"/>
                      </w:rPr>
                      <w:t>3</w:t>
                    </w:r>
                    <w:r>
                      <w:fldChar w:fldCharType="end"/>
                    </w:r>
                    <w:r>
                      <w:rPr>
                        <w:rFonts w:hint="eastAsi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notBeside" w:vAnchor="page" w:hAnchor="page" w:x="1479" w:y="15598"/>
      <w:rPr>
        <w:rStyle w:val="10"/>
      </w:rPr>
    </w:pPr>
    <w:r>
      <w:rPr>
        <w:rStyle w:val="10"/>
        <w:rFonts w:hint="eastAsia"/>
      </w:rPr>
      <w:t>—</w:t>
    </w:r>
    <w:r>
      <w:fldChar w:fldCharType="begin"/>
    </w:r>
    <w:r>
      <w:rPr>
        <w:rStyle w:val="10"/>
      </w:rPr>
      <w:instrText xml:space="preserve">PAGE  </w:instrText>
    </w:r>
    <w:r>
      <w:fldChar w:fldCharType="separate"/>
    </w:r>
    <w:r>
      <w:rPr>
        <w:rStyle w:val="10"/>
      </w:rPr>
      <w:t>2</w:t>
    </w:r>
    <w:r>
      <w:fldChar w:fldCharType="end"/>
    </w:r>
    <w:r>
      <w:rPr>
        <w:rStyle w:val="10"/>
        <w:rFonts w:hint="eastAsia"/>
      </w:rPr>
      <w:t>—</w:t>
    </w:r>
  </w:p>
  <w:p>
    <w:pPr>
      <w:pStyle w:val="3"/>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8" w:rightChars="-12"/>
    </w:pPr>
    <w:r>
      <mc:AlternateContent>
        <mc:Choice Requires="wps">
          <w:drawing>
            <wp:anchor distT="0" distB="0" distL="114300" distR="114300" simplePos="0" relativeHeight="251659264" behindDoc="0" locked="1" layoutInCell="1" allowOverlap="1">
              <wp:simplePos x="0" y="0"/>
              <wp:positionH relativeFrom="column">
                <wp:posOffset>-218440</wp:posOffset>
              </wp:positionH>
              <wp:positionV relativeFrom="paragraph">
                <wp:posOffset>36195</wp:posOffset>
              </wp:positionV>
              <wp:extent cx="6047740" cy="635"/>
              <wp:effectExtent l="0" t="28575" r="10160" b="46990"/>
              <wp:wrapNone/>
              <wp:docPr id="1" name="直接连接符 1"/>
              <wp:cNvGraphicFramePr/>
              <a:graphic xmlns:a="http://schemas.openxmlformats.org/drawingml/2006/main">
                <a:graphicData uri="http://schemas.microsoft.com/office/word/2010/wordprocessingShape">
                  <wps:wsp>
                    <wps:cNvCnPr/>
                    <wps:spPr>
                      <a:xfrm>
                        <a:off x="0" y="0"/>
                        <a:ext cx="6047740" cy="635"/>
                      </a:xfrm>
                      <a:prstGeom prst="line">
                        <a:avLst/>
                      </a:prstGeom>
                      <a:ln w="57150" cap="flat" cmpd="thinThick">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2pt;margin-top:2.85pt;height:0.05pt;width:476.2pt;z-index:251659264;mso-width-relative:page;mso-height-relative:page;" filled="f" stroked="t" coordsize="21600,21600" o:gfxdata="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DYc+zVAAAABwEAAA8AAAAAAAAAAQAgAAAAOAAAAGRycy9kb3ducmV2&#10;LnhtbFBLAQIUABQAAAAIAIdO4kDCNDLU6QEAALADAAAOAAAAAAAAAAEAIAAAADoBAABkcnMvZTJv&#10;RG9jLnhtbFBLBQYAAAAABgAGAFkBAACVBQAAAAA=&#10;">
              <v:fill on="f" focussize="0,0"/>
              <v:stroke weight="4.5pt" color="#FF0000" linestyle="thinThick" joinstyle="round"/>
              <v:imagedata o:title=""/>
              <o:lock v:ext="edit" aspectratio="f"/>
              <w10:anchorlock/>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none"/>
      <w:pStyle w:val="4"/>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pStyle w:val="5"/>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9984B"/>
    <w:rsid w:val="16BD6705"/>
    <w:rsid w:val="3FFF1ADA"/>
    <w:rsid w:val="4AE9984B"/>
    <w:rsid w:val="4BE6C5F7"/>
    <w:rsid w:val="55FE78EE"/>
    <w:rsid w:val="6FEEB9F9"/>
    <w:rsid w:val="74FB9F09"/>
    <w:rsid w:val="7B2F6525"/>
    <w:rsid w:val="7B65AF64"/>
    <w:rsid w:val="7BD03613"/>
    <w:rsid w:val="7FBE173E"/>
    <w:rsid w:val="97F7A6EE"/>
    <w:rsid w:val="A5F336B1"/>
    <w:rsid w:val="B3FB1BA8"/>
    <w:rsid w:val="BFD60DA0"/>
    <w:rsid w:val="CDF7D64E"/>
    <w:rsid w:val="DFDF86A8"/>
    <w:rsid w:val="E4DFA38F"/>
    <w:rsid w:val="E9CBF3C5"/>
    <w:rsid w:val="EF7FE3EB"/>
    <w:rsid w:val="FBEFF54E"/>
    <w:rsid w:val="FC7D6182"/>
    <w:rsid w:val="FDBD8B3C"/>
    <w:rsid w:val="FFFEF6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5">
    <w:name w:val="heading 4"/>
    <w:basedOn w:val="1"/>
    <w:next w:val="1"/>
    <w:qFormat/>
    <w:uiPriority w:val="0"/>
    <w:pPr>
      <w:keepNext/>
      <w:keepLines/>
      <w:widowControl/>
      <w:numPr>
        <w:ilvl w:val="3"/>
        <w:numId w:val="1"/>
      </w:numPr>
      <w:adjustRightInd w:val="0"/>
      <w:spacing w:before="280" w:beforeLines="0" w:after="290" w:afterLines="0" w:line="376" w:lineRule="atLeast"/>
      <w:textAlignment w:val="baseline"/>
      <w:outlineLvl w:val="3"/>
    </w:pPr>
    <w:rPr>
      <w:rFonts w:ascii="Arial" w:hAnsi="Arial" w:eastAsia="黑体"/>
      <w:b/>
      <w:kern w:val="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footer"/>
    <w:basedOn w:val="1"/>
    <w:qFormat/>
    <w:uiPriority w:val="0"/>
    <w:pPr>
      <w:tabs>
        <w:tab w:val="center" w:leader="hyphen" w:pos="4153"/>
        <w:tab w:val="right" w:pos="8306"/>
      </w:tabs>
      <w:snapToGrid w:val="0"/>
      <w:jc w:val="right"/>
    </w:pPr>
    <w:rPr>
      <w:sz w:val="28"/>
      <w:szCs w:val="18"/>
    </w:rPr>
  </w:style>
  <w:style w:type="paragraph" w:styleId="6">
    <w:name w:val="Normal Indent"/>
    <w:basedOn w:val="1"/>
    <w:qFormat/>
    <w:uiPriority w:val="0"/>
    <w:pPr>
      <w:ind w:firstLine="420" w:firstLineChars="200"/>
    </w:pPr>
  </w:style>
  <w:style w:type="paragraph" w:styleId="7">
    <w:name w:val="header"/>
    <w:basedOn w:val="1"/>
    <w:qFormat/>
    <w:uiPriority w:val="0"/>
    <w:pPr>
      <w:tabs>
        <w:tab w:val="center" w:pos="4153"/>
        <w:tab w:val="right" w:pos="8306"/>
      </w:tabs>
      <w:snapToGrid w:val="0"/>
      <w:jc w:val="center"/>
    </w:pPr>
    <w:rPr>
      <w:sz w:val="18"/>
      <w:szCs w:val="18"/>
    </w:rPr>
  </w:style>
  <w:style w:type="character" w:styleId="10">
    <w:name w:val="page number"/>
    <w:basedOn w:val="9"/>
    <w:qFormat/>
    <w:uiPriority w:val="0"/>
    <w:rPr>
      <w:rFonts w:ascii="Times New Roman" w:hAnsi="Times New Roman" w:eastAsia="仿宋_GB2312"/>
      <w:sz w:val="28"/>
      <w:lang w:eastAsia="zh-CN"/>
    </w:rPr>
  </w:style>
  <w:style w:type="paragraph" w:customStyle="1" w:styleId="11">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2485</Words>
  <Characters>2552</Characters>
  <Lines>0</Lines>
  <Paragraphs>0</Paragraphs>
  <TotalTime>68</TotalTime>
  <ScaleCrop>false</ScaleCrop>
  <LinksUpToDate>false</LinksUpToDate>
  <CharactersWithSpaces>2641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2025-06-07T15:22:00Z</dcterms:created>
  <dc:creator>luohy</dc:creator>
  <cp:lastModifiedBy>黄健敏</cp:lastModifiedBy>
  <dcterms:modified xsi:type="dcterms:W3CDTF">2026-02-11T17:23:06Z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4167201DB7D533AFCA228069BABB1669</vt:lpwstr>
  </property>
  <property fmtid="{D5CDD505-2E9C-101B-9397-08002B2CF9AE}" pid="4" name="KSOTemplateDocerSaveRecord">
    <vt:lpwstr>eyJoZGlkIjoiZTc5ODJmNjAxZDQxMDA4NmRkYjM2YzJlNDQwMWM2OWEiLCJ1c2VySWQiOiI0NTU5NjYzMDUifQ==</vt:lpwstr>
  </property>
</Properties>
</file>