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2"/>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552" w:type="dxa"/>
            <w:noWrap w:val="0"/>
            <w:vAlign w:val="top"/>
          </w:tcPr>
          <w:p>
            <w:pPr>
              <w:pStyle w:val="2"/>
              <w:numPr>
                <w:ilvl w:val="0"/>
                <w:numId w:val="0"/>
              </w:numPr>
              <w:autoSpaceDE w:val="0"/>
              <w:autoSpaceDN w:val="0"/>
              <w:snapToGrid w:val="0"/>
              <w:rPr>
                <w:rFonts w:hint="eastAsia"/>
                <w:b/>
                <w:bCs/>
                <w:color w:val="FF0000"/>
                <w:spacing w:val="-50"/>
                <w:w w:val="90"/>
                <w:kern w:val="72"/>
                <w:sz w:val="72"/>
                <w:szCs w:val="72"/>
              </w:rPr>
            </w:pPr>
            <w:r>
              <w:rPr>
                <w:rFonts w:hint="eastAsia"/>
                <w:b/>
                <w:bCs/>
                <w:color w:val="FF0000"/>
                <w:spacing w:val="120"/>
                <w:kern w:val="72"/>
                <w:sz w:val="72"/>
                <w:szCs w:val="72"/>
              </w:rPr>
              <w:t>东莞市发展和改革局</w:t>
            </w:r>
          </w:p>
        </w:tc>
      </w:tr>
    </w:tbl>
    <w:p>
      <w:pPr>
        <w:pStyle w:val="3"/>
        <w:adjustRightInd w:val="0"/>
        <w:snapToGrid w:val="0"/>
        <w:spacing w:line="500" w:lineRule="exact"/>
        <w:ind w:right="501" w:firstLine="688"/>
        <w:jc w:val="right"/>
        <w:rPr>
          <w:snapToGrid w:val="0"/>
          <w:szCs w:val="32"/>
        </w:rPr>
      </w:pPr>
      <w:bookmarkStart w:id="0" w:name="documentNumber"/>
      <w:r>
        <w:rPr>
          <w:rFonts w:hint="eastAsia"/>
          <w:snapToGrid w:val="0"/>
          <w:szCs w:val="32"/>
          <w:lang w:val="en" w:eastAsia="zh-CN"/>
        </w:rPr>
        <w:t>东发改函〔2025〕</w:t>
      </w:r>
      <w:r>
        <w:rPr>
          <w:rFonts w:hint="eastAsia"/>
          <w:snapToGrid w:val="0"/>
          <w:szCs w:val="32"/>
          <w:lang w:val="en-US" w:eastAsia="zh-CN"/>
        </w:rPr>
        <w:t xml:space="preserve"> </w:t>
      </w:r>
      <w:r>
        <w:rPr>
          <w:rFonts w:hint="eastAsia"/>
          <w:snapToGrid w:val="0"/>
          <w:szCs w:val="32"/>
          <w:lang w:val="en" w:eastAsia="zh-CN"/>
        </w:rPr>
        <w:t>号</w:t>
      </w:r>
      <w:bookmarkEnd w:id="0"/>
    </w:p>
    <w:p>
      <w:pPr>
        <w:pStyle w:val="3"/>
        <w:adjustRightInd w:val="0"/>
        <w:snapToGrid w:val="0"/>
        <w:spacing w:line="580" w:lineRule="exact"/>
        <w:ind w:firstLine="688"/>
        <w:rPr>
          <w:rFonts w:hint="eastAsia" w:eastAsia="华康简标题宋"/>
          <w:sz w:val="42"/>
        </w:rPr>
      </w:pPr>
      <w:r>
        <w:t xml:space="preserve">                              </w:t>
      </w:r>
    </w:p>
    <w:p>
      <w:pPr>
        <w:spacing w:line="580" w:lineRule="exact"/>
        <w:jc w:val="center"/>
        <w:rPr>
          <w:rFonts w:hint="eastAsia" w:eastAsia="华康简标题宋"/>
          <w:sz w:val="44"/>
          <w:szCs w:val="44"/>
        </w:rPr>
      </w:pPr>
      <w:bookmarkStart w:id="1" w:name="documentTile"/>
      <w:r>
        <w:rPr>
          <w:rFonts w:hint="default" w:ascii="方正小标宋简体" w:hAnsi="方正小标宋简体" w:eastAsia="方正小标宋简体" w:cs="方正小标宋简体"/>
          <w:sz w:val="44"/>
          <w:szCs w:val="44"/>
          <w:lang w:val="en"/>
        </w:rPr>
        <w:t>东莞市发展和改革局关于对东莞市政协十四届四次会议第20250106号提案的答复</w:t>
      </w:r>
      <w:bookmarkEnd w:id="1"/>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DOCVARIABLE  FlSubject  \* MERGEFORMAT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fldChar w:fldCharType="end"/>
      </w:r>
    </w:p>
    <w:p>
      <w:pPr>
        <w:adjustRightInd w:val="0"/>
        <w:snapToGrid w:val="0"/>
        <w:spacing w:line="580" w:lineRule="exact"/>
        <w:rPr>
          <w:szCs w:val="32"/>
        </w:rPr>
      </w:pPr>
    </w:p>
    <w:p>
      <w:pPr>
        <w:adjustRightInd w:val="0"/>
        <w:snapToGrid w:val="0"/>
        <w:spacing w:line="580" w:lineRule="exact"/>
        <w:rPr>
          <w:szCs w:val="32"/>
        </w:rPr>
      </w:pPr>
      <w:bookmarkStart w:id="2" w:name="recipient"/>
      <w:r>
        <w:rPr>
          <w:szCs w:val="32"/>
          <w:lang w:val="en"/>
        </w:rPr>
        <w:t>尊敬的</w:t>
      </w:r>
      <w:r>
        <w:rPr>
          <w:rFonts w:hint="eastAsia"/>
          <w:szCs w:val="32"/>
          <w:lang w:val="en"/>
        </w:rPr>
        <w:t>康传义</w:t>
      </w:r>
      <w:r>
        <w:rPr>
          <w:szCs w:val="32"/>
          <w:lang w:val="en"/>
        </w:rPr>
        <w:t>委员</w:t>
      </w:r>
      <w:bookmarkEnd w:id="2"/>
      <w:r>
        <w:rPr>
          <w:szCs w:val="32"/>
        </w:rPr>
        <w:fldChar w:fldCharType="begin"/>
      </w:r>
      <w:r>
        <w:rPr>
          <w:szCs w:val="32"/>
        </w:rPr>
        <w:instrText xml:space="preserve"> DOCVARIABLE  FlMainSend  \* MERGEFORMAT </w:instrText>
      </w:r>
      <w:r>
        <w:rPr>
          <w:szCs w:val="32"/>
        </w:rPr>
        <w:fldChar w:fldCharType="separate"/>
      </w:r>
      <w:r>
        <w:rPr>
          <w:szCs w:val="32"/>
        </w:rPr>
        <w:fldChar w:fldCharType="end"/>
      </w:r>
      <w:r>
        <w:rPr>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您提出的《关于推动加油站与充电桩复合站点优化升级的建议》（第2025010</w:t>
      </w:r>
      <w:r>
        <w:rPr>
          <w:rFonts w:hint="eastAsia" w:cs="Times New Roman"/>
          <w:sz w:val="32"/>
          <w:szCs w:val="32"/>
          <w:lang w:val="en-US" w:eastAsia="zh-CN"/>
        </w:rPr>
        <w:t>6</w:t>
      </w:r>
      <w:r>
        <w:rPr>
          <w:rFonts w:hint="default" w:ascii="Times New Roman" w:hAnsi="Times New Roman" w:eastAsia="仿宋_GB2312" w:cs="Times New Roman"/>
          <w:sz w:val="32"/>
          <w:szCs w:val="32"/>
          <w:lang w:val="en" w:eastAsia="zh-CN"/>
        </w:rPr>
        <w:t>号）提案收悉，经综合</w:t>
      </w:r>
      <w:r>
        <w:rPr>
          <w:rFonts w:hint="eastAsia" w:cs="Times New Roman"/>
          <w:sz w:val="32"/>
          <w:szCs w:val="32"/>
          <w:lang w:val="en" w:eastAsia="zh-CN"/>
        </w:rPr>
        <w:t>市应急管理局、</w:t>
      </w:r>
      <w:r>
        <w:rPr>
          <w:rFonts w:hint="default" w:ascii="Times New Roman" w:hAnsi="Times New Roman" w:eastAsia="仿宋_GB2312" w:cs="Times New Roman"/>
          <w:sz w:val="32"/>
          <w:szCs w:val="32"/>
          <w:lang w:val="en" w:eastAsia="zh-CN"/>
        </w:rPr>
        <w:t>市自然资源局、</w:t>
      </w:r>
      <w:r>
        <w:rPr>
          <w:rFonts w:hint="eastAsia" w:cs="Times New Roman"/>
          <w:sz w:val="32"/>
          <w:szCs w:val="32"/>
          <w:lang w:val="en" w:eastAsia="zh-CN"/>
        </w:rPr>
        <w:t>市交通局、</w:t>
      </w:r>
      <w:r>
        <w:rPr>
          <w:rFonts w:hint="default" w:ascii="Times New Roman" w:hAnsi="Times New Roman" w:eastAsia="仿宋_GB2312" w:cs="Times New Roman"/>
          <w:sz w:val="32"/>
          <w:szCs w:val="32"/>
          <w:lang w:val="en" w:eastAsia="zh-CN"/>
        </w:rPr>
        <w:t>市</w:t>
      </w:r>
      <w:r>
        <w:rPr>
          <w:rFonts w:hint="eastAsia" w:cs="Times New Roman"/>
          <w:sz w:val="32"/>
          <w:szCs w:val="32"/>
          <w:lang w:val="en" w:eastAsia="zh-CN"/>
        </w:rPr>
        <w:t>住建</w:t>
      </w:r>
      <w:r>
        <w:rPr>
          <w:rFonts w:hint="default" w:ascii="Times New Roman" w:hAnsi="Times New Roman" w:eastAsia="仿宋_GB2312" w:cs="Times New Roman"/>
          <w:sz w:val="32"/>
          <w:szCs w:val="32"/>
          <w:lang w:val="en" w:eastAsia="zh-CN"/>
        </w:rPr>
        <w:t>局、</w:t>
      </w:r>
      <w:r>
        <w:rPr>
          <w:rFonts w:hint="eastAsia" w:cs="Times New Roman"/>
          <w:sz w:val="32"/>
          <w:szCs w:val="32"/>
          <w:lang w:val="en" w:eastAsia="zh-CN"/>
        </w:rPr>
        <w:t>消防支队</w:t>
      </w:r>
      <w:r>
        <w:rPr>
          <w:rFonts w:hint="default" w:ascii="Times New Roman" w:hAnsi="Times New Roman" w:eastAsia="仿宋_GB2312" w:cs="Times New Roman"/>
          <w:sz w:val="32"/>
          <w:szCs w:val="32"/>
          <w:lang w:val="en" w:eastAsia="zh-CN"/>
        </w:rPr>
        <w:t>、</w:t>
      </w:r>
      <w:r>
        <w:rPr>
          <w:rFonts w:hint="eastAsia" w:cs="Times New Roman"/>
          <w:sz w:val="32"/>
          <w:szCs w:val="32"/>
          <w:lang w:val="en" w:eastAsia="zh-CN"/>
        </w:rPr>
        <w:t>东莞供电局等单位</w:t>
      </w:r>
      <w:r>
        <w:rPr>
          <w:rFonts w:hint="default" w:ascii="Times New Roman" w:hAnsi="Times New Roman" w:eastAsia="仿宋_GB2312" w:cs="Times New Roman"/>
          <w:sz w:val="32"/>
          <w:szCs w:val="32"/>
          <w:lang w:val="en" w:eastAsia="zh-CN"/>
        </w:rPr>
        <w:t>意见，现答复如下：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8"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一、关于优化站点布局设计方面</w:t>
      </w:r>
    </w:p>
    <w:p>
      <w:pPr>
        <w:ind w:firstLine="643"/>
        <w:rPr>
          <w:rFonts w:hint="eastAsia" w:eastAsia="仿宋_GB2312"/>
          <w:lang w:val="en-US" w:eastAsia="zh-CN"/>
        </w:rPr>
      </w:pPr>
      <w:r>
        <w:rPr>
          <w:rFonts w:hint="eastAsia" w:ascii="楷体_GB2312" w:hAnsi="楷体_GB2312" w:eastAsia="楷体_GB2312" w:cs="楷体_GB2312"/>
          <w:lang w:val="en-US" w:eastAsia="zh-CN"/>
        </w:rPr>
        <w:t>（一）空间复用与模块化</w:t>
      </w:r>
      <w:r>
        <w:rPr>
          <w:rFonts w:hint="eastAsia"/>
          <w:lang w:val="en-US" w:eastAsia="zh-CN"/>
        </w:rPr>
        <w:t>。经了解，目前周边地区</w:t>
      </w:r>
      <w:r>
        <w:rPr>
          <w:rFonts w:hint="eastAsia"/>
        </w:rPr>
        <w:t>充电站相当</w:t>
      </w:r>
      <w:r>
        <w:rPr>
          <w:rFonts w:hint="eastAsia"/>
          <w:lang w:eastAsia="zh-CN"/>
        </w:rPr>
        <w:t>部分通过</w:t>
      </w:r>
      <w:r>
        <w:rPr>
          <w:rFonts w:hint="eastAsia"/>
        </w:rPr>
        <w:t>新增箱式变压器</w:t>
      </w:r>
      <w:r>
        <w:rPr>
          <w:rFonts w:hint="eastAsia"/>
          <w:lang w:eastAsia="zh-CN"/>
        </w:rPr>
        <w:t>来实现</w:t>
      </w:r>
      <w:r>
        <w:rPr>
          <w:rFonts w:hint="eastAsia"/>
        </w:rPr>
        <w:t>电力增容，</w:t>
      </w:r>
      <w:r>
        <w:rPr>
          <w:rFonts w:hint="eastAsia"/>
          <w:lang w:eastAsia="zh-CN"/>
        </w:rPr>
        <w:t>在装置</w:t>
      </w:r>
      <w:r>
        <w:rPr>
          <w:rFonts w:hint="eastAsia"/>
        </w:rPr>
        <w:t>布局</w:t>
      </w:r>
      <w:r>
        <w:rPr>
          <w:rFonts w:hint="eastAsia"/>
          <w:lang w:eastAsia="zh-CN"/>
        </w:rPr>
        <w:t>时综合考虑</w:t>
      </w:r>
      <w:r>
        <w:rPr>
          <w:rFonts w:hint="eastAsia"/>
        </w:rPr>
        <w:t>箱变、电堆</w:t>
      </w:r>
      <w:r>
        <w:rPr>
          <w:rFonts w:hint="eastAsia"/>
          <w:lang w:eastAsia="zh-CN"/>
        </w:rPr>
        <w:t>、</w:t>
      </w:r>
      <w:r>
        <w:rPr>
          <w:rFonts w:hint="eastAsia"/>
        </w:rPr>
        <w:t>充电终端</w:t>
      </w:r>
      <w:r>
        <w:rPr>
          <w:rFonts w:hint="eastAsia"/>
          <w:lang w:eastAsia="zh-CN"/>
        </w:rPr>
        <w:t>的</w:t>
      </w:r>
      <w:r>
        <w:rPr>
          <w:rFonts w:hint="eastAsia"/>
        </w:rPr>
        <w:t>最优配置</w:t>
      </w:r>
      <w:r>
        <w:rPr>
          <w:rFonts w:hint="eastAsia"/>
          <w:lang w:eastAsia="zh-CN"/>
        </w:rPr>
        <w:t>，以减少</w:t>
      </w:r>
      <w:r>
        <w:rPr>
          <w:rFonts w:hint="eastAsia"/>
        </w:rPr>
        <w:t>电损</w:t>
      </w:r>
      <w:r>
        <w:rPr>
          <w:rFonts w:hint="eastAsia"/>
          <w:lang w:eastAsia="zh-CN"/>
        </w:rPr>
        <w:t>、</w:t>
      </w:r>
      <w:r>
        <w:rPr>
          <w:rFonts w:hint="eastAsia"/>
        </w:rPr>
        <w:t>投资成本</w:t>
      </w:r>
      <w:r>
        <w:rPr>
          <w:rFonts w:hint="eastAsia"/>
          <w:lang w:eastAsia="zh-CN"/>
        </w:rPr>
        <w:t>，</w:t>
      </w:r>
      <w:r>
        <w:rPr>
          <w:rFonts w:hint="eastAsia"/>
        </w:rPr>
        <w:t>变压器与充电堆</w:t>
      </w:r>
      <w:r>
        <w:rPr>
          <w:rFonts w:hint="eastAsia"/>
          <w:lang w:eastAsia="zh-CN"/>
        </w:rPr>
        <w:t>距离远的情况较少</w:t>
      </w:r>
      <w:r>
        <w:rPr>
          <w:rFonts w:hint="eastAsia"/>
        </w:rPr>
        <w:t>。</w:t>
      </w:r>
      <w:r>
        <w:rPr>
          <w:rFonts w:hint="eastAsia"/>
          <w:lang w:eastAsia="zh-CN"/>
        </w:rPr>
        <w:t>同时，</w:t>
      </w:r>
      <w:r>
        <w:rPr>
          <w:rFonts w:hint="eastAsia"/>
          <w:lang w:val="en-US" w:eastAsia="zh-CN"/>
        </w:rPr>
        <w:t>可拆卸式充电桩虽有快速安装、适应性强等优势，但也面临标准兼容、技术安全、稳定验证等方面挑战，需结合具体应用场景来评估其适用性可靠性，</w:t>
      </w:r>
      <w:r>
        <w:rPr>
          <w:rFonts w:hint="eastAsia"/>
          <w:b w:val="0"/>
          <w:bCs w:val="0"/>
          <w:sz w:val="32"/>
          <w:szCs w:val="32"/>
          <w:lang w:val="en-US" w:eastAsia="zh-CN"/>
        </w:rPr>
        <w:t>待技术成熟后</w:t>
      </w:r>
      <w:r>
        <w:rPr>
          <w:rFonts w:hint="eastAsia"/>
          <w:lang w:val="en-US" w:eastAsia="zh-CN"/>
        </w:rPr>
        <w:t>将推广试点工作。</w:t>
      </w:r>
    </w:p>
    <w:p>
      <w:pPr>
        <w:ind w:firstLine="643"/>
        <w:rPr>
          <w:rFonts w:hint="eastAsia"/>
          <w:b w:val="0"/>
          <w:bCs w:val="0"/>
          <w:sz w:val="32"/>
          <w:szCs w:val="32"/>
          <w:lang w:val="en-US" w:eastAsia="zh-CN"/>
        </w:rPr>
      </w:pPr>
      <w:r>
        <w:rPr>
          <w:rFonts w:hint="eastAsia" w:ascii="楷体_GB2312" w:hAnsi="楷体_GB2312" w:eastAsia="楷体_GB2312" w:cs="楷体_GB2312"/>
          <w:lang w:val="en-US" w:eastAsia="zh-CN"/>
        </w:rPr>
        <w:t>（二）分级分类建设。</w:t>
      </w:r>
      <w:r>
        <w:rPr>
          <w:rFonts w:hint="eastAsia" w:ascii="Times New Roman" w:hAnsi="Times New Roman" w:eastAsia="仿宋_GB2312"/>
          <w:b w:val="0"/>
          <w:bCs w:val="0"/>
          <w:sz w:val="32"/>
          <w:szCs w:val="32"/>
          <w:lang w:val="en-US" w:eastAsia="zh-CN"/>
        </w:rPr>
        <w:t>根据</w:t>
      </w:r>
      <w:r>
        <w:rPr>
          <w:rFonts w:hint="eastAsia"/>
          <w:b w:val="0"/>
          <w:bCs w:val="0"/>
          <w:sz w:val="32"/>
          <w:szCs w:val="32"/>
          <w:lang w:val="en-US" w:eastAsia="zh-CN"/>
        </w:rPr>
        <w:t>《东莞市应急管理局关于加油站内设置汽车充电桩安全管理相关要求》，加油站内设置电动汽车充电柱数量原则上不应超过2台，数量超过2台的，应严格按照《电动车充电站设计规范》（GB50966-2014）的要求建设，结合加油站规模、车流量等因素决定并满足负荷核算。目前，我市核心城区加油站用地规模普遍偏小，无空余用地新增箱式变压器，难以按“2快充+1超充”规划布局。市内高速公路服务区已全覆盖充电设施，提供充电车位</w:t>
      </w:r>
      <w:r>
        <w:rPr>
          <w:rFonts w:hint="eastAsia"/>
          <w:b w:val="0"/>
          <w:bCs w:val="0"/>
          <w:sz w:val="32"/>
          <w:szCs w:val="32"/>
          <w:highlight w:val="none"/>
          <w:lang w:val="en-US" w:eastAsia="zh-CN"/>
        </w:rPr>
        <w:t>276个（含快充229个、超充34个）</w:t>
      </w:r>
      <w:r>
        <w:rPr>
          <w:rFonts w:hint="eastAsia"/>
          <w:b w:val="0"/>
          <w:bCs w:val="0"/>
          <w:sz w:val="32"/>
          <w:szCs w:val="32"/>
          <w:lang w:val="en-US" w:eastAsia="zh-CN"/>
        </w:rPr>
        <w:t>，基本能满足车辆充电需求，且快充、超充均按充电量服务费收益，与充电时长相关性低，因此对于城郊及高速服务区站点可拓展“4超充+12快充”的建议，</w:t>
      </w:r>
      <w:r>
        <w:rPr>
          <w:rFonts w:hint="default" w:ascii="Times New Roman" w:hAnsi="Times New Roman" w:eastAsia="仿宋_GB2312" w:cs="Times New Roman"/>
          <w:lang w:val="en-US" w:eastAsia="zh-CN"/>
        </w:rPr>
        <w:t>实施条件还不够成熟</w:t>
      </w:r>
      <w:r>
        <w:rPr>
          <w:rFonts w:hint="eastAsia" w:cs="Times New Roman"/>
          <w:lang w:val="en-US" w:eastAsia="zh-CN"/>
        </w:rPr>
        <w:t>，</w:t>
      </w:r>
      <w:r>
        <w:rPr>
          <w:rFonts w:hint="eastAsia"/>
          <w:b w:val="0"/>
          <w:bCs w:val="0"/>
          <w:sz w:val="32"/>
          <w:szCs w:val="32"/>
          <w:lang w:val="en-US" w:eastAsia="zh-CN"/>
        </w:rPr>
        <w:t>拟由市场决策为主。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8"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二、关于构建“充电+”综合服务体系</w:t>
      </w:r>
    </w:p>
    <w:p>
      <w:pPr>
        <w:ind w:firstLine="643"/>
        <w:rPr>
          <w:rFonts w:hint="default" w:ascii="黑体" w:hAnsi="黑体" w:eastAsia="黑体" w:cs="黑体"/>
          <w:kern w:val="2"/>
          <w:sz w:val="32"/>
          <w:szCs w:val="32"/>
          <w:lang w:val="en-US" w:eastAsia="zh-CN" w:bidi="ar-SA"/>
        </w:rPr>
      </w:pPr>
      <w:r>
        <w:rPr>
          <w:rFonts w:hint="eastAsia"/>
          <w:b w:val="0"/>
          <w:bCs w:val="0"/>
          <w:sz w:val="32"/>
          <w:szCs w:val="32"/>
          <w:lang w:val="en-US" w:eastAsia="zh-CN"/>
        </w:rPr>
        <w:t>我局会同相关部门积极支持加油站多元化、智慧化发展，引导加油站丰富便利店零售服务、增设洗车美容服务，合理拓展非油品业务。比如，引导和支持中石化加油站加快向综合能源服务商转型升级，致力于打造 “人·车·生活”生态服务圈，提供加油、充电、购物、用餐、洗车、车辆保养等一站式服务，在部分加油站设置“爱心驿站”、“卡车司机之家”等公益驿站。同时，我市加快探索打造“光储充检放”综合能源充电站，逐步实现光伏、储能、充电、电池检测、V2G（车辆到电网）一体发展、峰谷经营创效等多业态综合运营模式。目前,我市供电部门已完成V2G（车辆到电网）反向放电技术验证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8"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三、关于强化安全与政策保障</w:t>
      </w:r>
    </w:p>
    <w:p>
      <w:pPr>
        <w:keepNext w:val="0"/>
        <w:keepLines w:val="0"/>
        <w:pageBreakBefore w:val="0"/>
        <w:widowControl/>
        <w:suppressLineNumbers w:val="0"/>
        <w:kinsoku/>
        <w:wordWrap/>
        <w:overflowPunct/>
        <w:topLinePunct w:val="0"/>
        <w:autoSpaceDE/>
        <w:autoSpaceDN/>
        <w:bidi w:val="0"/>
        <w:adjustRightInd/>
        <w:snapToGrid/>
        <w:ind w:firstLine="688" w:firstLineChars="200"/>
        <w:jc w:val="left"/>
        <w:textAlignment w:val="auto"/>
        <w:rPr>
          <w:rFonts w:hint="eastAsia"/>
          <w:b w:val="0"/>
          <w:bCs w:val="0"/>
          <w:sz w:val="32"/>
          <w:szCs w:val="32"/>
          <w:lang w:val="en-US" w:eastAsia="zh-CN"/>
        </w:rPr>
      </w:pPr>
      <w:r>
        <w:rPr>
          <w:rFonts w:hint="eastAsia" w:ascii="楷体_GB2312" w:hAnsi="楷体_GB2312" w:eastAsia="楷体_GB2312" w:cs="楷体_GB2312"/>
          <w:b w:val="0"/>
          <w:bCs w:val="0"/>
          <w:sz w:val="32"/>
          <w:szCs w:val="32"/>
          <w:lang w:val="en-US" w:eastAsia="zh-CN"/>
        </w:rPr>
        <w:t>（一）安全标准化</w:t>
      </w:r>
      <w:r>
        <w:rPr>
          <w:rFonts w:hint="eastAsia"/>
          <w:b w:val="0"/>
          <w:bCs w:val="0"/>
          <w:sz w:val="32"/>
          <w:szCs w:val="32"/>
          <w:lang w:val="en-US" w:eastAsia="zh-CN"/>
        </w:rPr>
        <w:t>。目前，市应急管理部门已制定</w:t>
      </w:r>
      <w:r>
        <w:rPr>
          <w:rFonts w:hint="default"/>
          <w:b w:val="0"/>
          <w:bCs w:val="0"/>
          <w:sz w:val="32"/>
          <w:szCs w:val="32"/>
          <w:lang w:val="en-US" w:eastAsia="zh-CN"/>
        </w:rPr>
        <w:t>《东莞市应急管理局关于加油站内设置汽车充电桩安全管理相关要求》（东应急〔2024〕145号），对加油站内设置充电桩的安全管理措施及设置充电桩的手续等方面进行</w:t>
      </w:r>
      <w:r>
        <w:rPr>
          <w:rFonts w:hint="eastAsia"/>
          <w:b w:val="0"/>
          <w:bCs w:val="0"/>
          <w:sz w:val="32"/>
          <w:szCs w:val="32"/>
          <w:lang w:val="en-US" w:eastAsia="zh-CN"/>
        </w:rPr>
        <w:t>明确</w:t>
      </w:r>
      <w:r>
        <w:rPr>
          <w:rFonts w:hint="default"/>
          <w:b w:val="0"/>
          <w:bCs w:val="0"/>
          <w:sz w:val="32"/>
          <w:szCs w:val="32"/>
          <w:lang w:val="en-US" w:eastAsia="zh-CN"/>
        </w:rPr>
        <w:t>规定</w:t>
      </w:r>
      <w:r>
        <w:rPr>
          <w:rFonts w:hint="eastAsia"/>
          <w:b w:val="0"/>
          <w:bCs w:val="0"/>
          <w:sz w:val="32"/>
          <w:szCs w:val="32"/>
          <w:lang w:val="en-US" w:eastAsia="zh-CN"/>
        </w:rPr>
        <w:t>，暂无收到上级部门制定相关防爆技术导则、防爆认证白名单的计划；并明确充电桩</w:t>
      </w:r>
      <w:r>
        <w:rPr>
          <w:rFonts w:ascii="仿宋" w:hAnsi="仿宋" w:eastAsia="仿宋" w:cs="仿宋"/>
          <w:i w:val="0"/>
          <w:iCs w:val="0"/>
          <w:caps w:val="0"/>
          <w:color w:val="000000"/>
          <w:spacing w:val="0"/>
          <w:kern w:val="0"/>
          <w:sz w:val="32"/>
          <w:szCs w:val="32"/>
          <w:shd w:val="clear" w:fill="FFFFFF"/>
          <w:lang w:val="en-US" w:eastAsia="zh-CN" w:bidi="ar"/>
        </w:rPr>
        <w:t>参照散发火花地点考虑与加油站内工艺设备的安全间距</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eastAsia"/>
          <w:b w:val="0"/>
          <w:bCs w:val="0"/>
          <w:sz w:val="32"/>
          <w:szCs w:val="32"/>
          <w:highlight w:val="none"/>
          <w:lang w:val="en-US" w:eastAsia="zh-CN"/>
        </w:rPr>
        <w:t>住建部《汽车加油加气加氢站技术标准》（GB50156-2021）明确散发火花地点</w:t>
      </w:r>
      <w:r>
        <w:rPr>
          <w:rFonts w:hint="default" w:ascii="Times New Roman" w:hAnsi="Times New Roman" w:eastAsia="仿宋_GB2312"/>
          <w:b w:val="0"/>
          <w:bCs w:val="0"/>
          <w:sz w:val="32"/>
          <w:szCs w:val="32"/>
          <w:highlight w:val="none"/>
          <w:lang w:val="en-US" w:eastAsia="zh-CN"/>
        </w:rPr>
        <w:t>与</w:t>
      </w:r>
      <w:r>
        <w:rPr>
          <w:rFonts w:hint="eastAsia"/>
          <w:b w:val="0"/>
          <w:bCs w:val="0"/>
          <w:sz w:val="32"/>
          <w:szCs w:val="32"/>
          <w:highlight w:val="none"/>
          <w:lang w:val="en-US" w:eastAsia="zh-CN"/>
        </w:rPr>
        <w:t>加油机安全间距不小于12.5米</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eastAsia"/>
          <w:b w:val="0"/>
          <w:bCs w:val="0"/>
          <w:sz w:val="32"/>
          <w:szCs w:val="32"/>
          <w:highlight w:val="none"/>
          <w:lang w:val="en-US" w:eastAsia="zh-CN"/>
        </w:rPr>
        <w:t>，因此关于“明确液冷超充桩与加油机安全间距（建议≥15米）的建议，需执行国家标准。</w:t>
      </w:r>
      <w:r>
        <w:rPr>
          <w:rFonts w:hint="eastAsia"/>
          <w:b w:val="0"/>
          <w:bCs w:val="0"/>
          <w:sz w:val="32"/>
          <w:szCs w:val="32"/>
          <w:lang w:val="en-US" w:eastAsia="zh-CN"/>
        </w:rPr>
        <w:t>此外，市供电部门已在东城、大朗等地试点“充电站+光伏顶棚”，待试点经验成熟后，将逐步推广“加油站+光伏顶棚”等模式。</w:t>
      </w:r>
    </w:p>
    <w:p>
      <w:pPr>
        <w:ind w:firstLine="643"/>
        <w:rPr>
          <w:rFonts w:hint="eastAsia"/>
          <w:b w:val="0"/>
          <w:bCs w:val="0"/>
          <w:sz w:val="32"/>
          <w:szCs w:val="32"/>
          <w:lang w:val="en-US" w:eastAsia="zh-CN"/>
        </w:rPr>
      </w:pPr>
      <w:r>
        <w:rPr>
          <w:rFonts w:hint="eastAsia" w:ascii="楷体_GB2312" w:hAnsi="楷体_GB2312" w:eastAsia="楷体_GB2312" w:cs="楷体_GB2312"/>
          <w:b w:val="0"/>
          <w:bCs w:val="0"/>
          <w:sz w:val="32"/>
          <w:szCs w:val="32"/>
          <w:lang w:val="en-US" w:eastAsia="zh-CN"/>
        </w:rPr>
        <w:t>（二）政策扶持。</w:t>
      </w:r>
      <w:r>
        <w:rPr>
          <w:rFonts w:hint="eastAsia"/>
          <w:b w:val="0"/>
          <w:bCs w:val="0"/>
          <w:sz w:val="32"/>
          <w:szCs w:val="32"/>
          <w:lang w:val="en-US" w:eastAsia="zh-CN"/>
        </w:rPr>
        <w:t>关于建设补贴、土地增值税减免，经咨询，我市税务、电力部门均反馈暂无此类优惠政策，也无制定此类政策的权限，且此类优惠政策容易造成不当市场干预行为，与全国统一大市场政策精神相悖，待条件成熟再研究考虑。关于加油站报装充电桩业务，供电部门审核时间承诺在15个工作日内办理（低压项目最快可5个工作日完成）。下来，我局将加强与相关部门协调联动，进一步压缩审批环节、优化工作流程，加强对企业的指导服务，进一步构建亲清政商关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eastAsia="仿宋_GB2312"/>
          <w:b w:val="0"/>
          <w:bCs w:val="0"/>
          <w:sz w:val="32"/>
          <w:szCs w:val="32"/>
          <w:lang w:val="en" w:eastAsia="zh-CN"/>
        </w:rPr>
      </w:pPr>
      <w:r>
        <w:rPr>
          <w:rFonts w:hint="eastAsia" w:ascii="Times New Roman" w:hAnsi="Times New Roman" w:eastAsia="仿宋_GB2312"/>
          <w:b w:val="0"/>
          <w:bCs w:val="0"/>
          <w:sz w:val="32"/>
          <w:szCs w:val="32"/>
          <w:lang w:val="en" w:eastAsia="zh-CN"/>
        </w:rPr>
        <w:t>专此答复，诚挚感谢您对东莞市发展和改革局工作的关心和支持。</w:t>
      </w:r>
    </w:p>
    <w:p>
      <w:pPr>
        <w:adjustRightInd w:val="0"/>
        <w:snapToGrid w:val="0"/>
        <w:spacing w:line="580" w:lineRule="exact"/>
        <w:ind w:firstLine="688" w:firstLineChars="200"/>
        <w:rPr>
          <w:szCs w:val="32"/>
        </w:rPr>
      </w:pPr>
    </w:p>
    <w:p>
      <w:pPr>
        <w:adjustRightInd w:val="0"/>
        <w:snapToGrid w:val="0"/>
        <w:spacing w:line="580" w:lineRule="exact"/>
        <w:ind w:firstLine="4300" w:firstLineChars="1250"/>
        <w:jc w:val="right"/>
        <w:rPr>
          <w:szCs w:val="32"/>
        </w:rPr>
      </w:pPr>
    </w:p>
    <w:p>
      <w:pPr>
        <w:adjustRightInd w:val="0"/>
        <w:snapToGrid w:val="0"/>
        <w:spacing w:line="580" w:lineRule="exact"/>
        <w:ind w:firstLine="4644" w:firstLineChars="1350"/>
        <w:rPr>
          <w:rFonts w:hint="eastAsia"/>
          <w:szCs w:val="32"/>
        </w:rPr>
      </w:pPr>
      <w:r>
        <w:rPr>
          <w:rFonts w:hint="eastAsia"/>
          <w:szCs w:val="32"/>
        </w:rPr>
        <w:t>东莞市发展和改革局</w:t>
      </w:r>
    </w:p>
    <w:p>
      <w:pPr>
        <w:tabs>
          <w:tab w:val="left" w:pos="7740"/>
          <w:tab w:val="left" w:pos="7912"/>
        </w:tabs>
        <w:adjustRightInd w:val="0"/>
        <w:snapToGrid w:val="0"/>
        <w:spacing w:line="580" w:lineRule="exact"/>
        <w:rPr>
          <w:szCs w:val="32"/>
        </w:rPr>
      </w:pPr>
      <w:r>
        <w:rPr>
          <w:szCs w:val="32"/>
        </w:rPr>
        <w:t xml:space="preserve">                           </w:t>
      </w:r>
      <w:r>
        <w:rPr>
          <w:rFonts w:hint="eastAsia"/>
          <w:szCs w:val="32"/>
        </w:rPr>
        <w:t xml:space="preserve">  </w:t>
      </w:r>
      <w:r>
        <w:rPr>
          <w:rFonts w:hint="default"/>
          <w:szCs w:val="32"/>
          <w:lang w:val="en"/>
        </w:rPr>
        <w:t>2025</w:t>
      </w:r>
      <w:r>
        <w:rPr>
          <w:szCs w:val="32"/>
        </w:rPr>
        <w:t>年</w:t>
      </w:r>
      <w:r>
        <w:rPr>
          <w:rFonts w:hint="eastAsia"/>
          <w:szCs w:val="32"/>
          <w:lang w:val="en-US" w:eastAsia="zh-CN"/>
        </w:rPr>
        <w:t>8</w:t>
      </w:r>
      <w:r>
        <w:rPr>
          <w:szCs w:val="32"/>
        </w:rPr>
        <w:t>月</w:t>
      </w:r>
      <w:r>
        <w:rPr>
          <w:rFonts w:hint="eastAsia"/>
          <w:szCs w:val="32"/>
          <w:lang w:val="en-US" w:eastAsia="zh-CN"/>
        </w:rPr>
        <w:t>4</w:t>
      </w:r>
      <w:r>
        <w:rPr>
          <w:szCs w:val="32"/>
        </w:rPr>
        <w:t>日</w:t>
      </w:r>
    </w:p>
    <w:p>
      <w:pPr>
        <w:adjustRightInd w:val="0"/>
        <w:snapToGrid w:val="0"/>
        <w:spacing w:line="580" w:lineRule="exact"/>
        <w:rPr>
          <w:rFonts w:hint="eastAsia"/>
          <w:szCs w:val="32"/>
        </w:rPr>
      </w:pPr>
    </w:p>
    <w:p>
      <w:pPr>
        <w:adjustRightInd w:val="0"/>
        <w:snapToGrid w:val="0"/>
        <w:spacing w:line="580" w:lineRule="exact"/>
        <w:jc w:val="center"/>
      </w:pPr>
      <w:bookmarkStart w:id="3" w:name="_GoBack"/>
      <w:bookmarkEnd w:id="3"/>
    </w:p>
    <w:sectPr>
      <w:footerReference r:id="rId6" w:type="first"/>
      <w:footerReference r:id="rId4" w:type="default"/>
      <w:headerReference r:id="rId3" w:type="even"/>
      <w:footerReference r:id="rId5" w:type="even"/>
      <w:pgSz w:w="11906" w:h="16838"/>
      <w:pgMar w:top="1474" w:right="1474" w:bottom="1157" w:left="1588" w:header="851" w:footer="914" w:gutter="0"/>
      <w:pgNumType w:fmt="decimal"/>
      <w:cols w:space="720" w:num="1"/>
      <w:titlePg/>
      <w:docGrid w:type="linesAndChars" w:linePitch="579"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Style w:val="8"/>
                            </w:rPr>
                          </w:pPr>
                          <w:r>
                            <w:rPr>
                              <w:rFonts w:hint="eastAsia"/>
                            </w:rPr>
                            <w:t>—</w:t>
                          </w:r>
                          <w:r>
                            <w:fldChar w:fldCharType="begin"/>
                          </w:r>
                          <w:r>
                            <w:rPr>
                              <w:rStyle w:val="8"/>
                            </w:rPr>
                            <w:instrText xml:space="preserve">PAGE  </w:instrText>
                          </w:r>
                          <w:r>
                            <w:fldChar w:fldCharType="separate"/>
                          </w:r>
                          <w:r>
                            <w:rPr>
                              <w:rStyle w:val="8"/>
                            </w:rPr>
                            <w:t>3</w:t>
                          </w:r>
                          <w:r>
                            <w:fldChar w:fldCharType="end"/>
                          </w:r>
                          <w:r>
                            <w:rPr>
                              <w:rFonts w:hint="eastAsia"/>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4"/>
                      <w:rPr>
                        <w:rStyle w:val="8"/>
                      </w:rPr>
                    </w:pPr>
                    <w:r>
                      <w:rPr>
                        <w:rFonts w:hint="eastAsia"/>
                      </w:rPr>
                      <w:t>—</w:t>
                    </w:r>
                    <w:r>
                      <w:fldChar w:fldCharType="begin"/>
                    </w:r>
                    <w:r>
                      <w:rPr>
                        <w:rStyle w:val="8"/>
                      </w:rPr>
                      <w:instrText xml:space="preserve">PAGE  </w:instrText>
                    </w:r>
                    <w:r>
                      <w:fldChar w:fldCharType="separate"/>
                    </w:r>
                    <w:r>
                      <w:rPr>
                        <w:rStyle w:val="8"/>
                      </w:rPr>
                      <w:t>3</w:t>
                    </w:r>
                    <w:r>
                      <w:fldChar w:fldCharType="end"/>
                    </w: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notBeside" w:vAnchor="page" w:hAnchor="page" w:x="1479" w:y="15598"/>
      <w:rPr>
        <w:rStyle w:val="8"/>
      </w:rPr>
    </w:pPr>
    <w:r>
      <w:rPr>
        <w:rStyle w:val="8"/>
        <w:rFonts w:hint="eastAsia"/>
      </w:rPr>
      <w:t>—</w:t>
    </w:r>
    <w:r>
      <w:fldChar w:fldCharType="begin"/>
    </w:r>
    <w:r>
      <w:rPr>
        <w:rStyle w:val="8"/>
      </w:rPr>
      <w:instrText xml:space="preserve">PAGE  </w:instrText>
    </w:r>
    <w:r>
      <w:fldChar w:fldCharType="separate"/>
    </w:r>
    <w:r>
      <w:rPr>
        <w:rStyle w:val="8"/>
      </w:rPr>
      <w:t>2</w:t>
    </w:r>
    <w:r>
      <w:fldChar w:fldCharType="end"/>
    </w:r>
    <w:r>
      <w:rPr>
        <w:rStyle w:val="8"/>
        <w:rFonts w:hint="eastAsia"/>
      </w:rPr>
      <w:t>—</w:t>
    </w:r>
  </w:p>
  <w:p>
    <w:pPr>
      <w:pStyle w:val="4"/>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8" w:rightChars="-12"/>
    </w:pPr>
    <w:r>
      <mc:AlternateContent>
        <mc:Choice Requires="wps">
          <w:drawing>
            <wp:anchor distT="0" distB="0" distL="114300" distR="114300" simplePos="0" relativeHeight="251659264" behindDoc="0" locked="1" layoutInCell="1" allowOverlap="1">
              <wp:simplePos x="0" y="0"/>
              <wp:positionH relativeFrom="column">
                <wp:posOffset>-218440</wp:posOffset>
              </wp:positionH>
              <wp:positionV relativeFrom="paragraph">
                <wp:posOffset>36195</wp:posOffset>
              </wp:positionV>
              <wp:extent cx="6047740" cy="635"/>
              <wp:effectExtent l="0" t="28575" r="10160" b="46990"/>
              <wp:wrapNone/>
              <wp:docPr id="1" name="直接连接符 1"/>
              <wp:cNvGraphicFramePr/>
              <a:graphic xmlns:a="http://schemas.openxmlformats.org/drawingml/2006/main">
                <a:graphicData uri="http://schemas.microsoft.com/office/word/2010/wordprocessingShape">
                  <wps:wsp>
                    <wps:cNvCnPr/>
                    <wps:spPr>
                      <a:xfrm>
                        <a:off x="0" y="0"/>
                        <a:ext cx="6047740" cy="635"/>
                      </a:xfrm>
                      <a:prstGeom prst="line">
                        <a:avLst/>
                      </a:prstGeom>
                      <a:ln w="57150" cap="flat" cmpd="thinThick">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2pt;margin-top:2.85pt;height:0.05pt;width:476.2pt;z-index:251659264;mso-width-relative:page;mso-height-relative:page;" filled="f" stroked="t" coordsize="21600,21600" o:gfxdata="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DYc+zVAAAABwEAAA8AAAAAAAAAAQAgAAAAOAAAAGRycy9kb3ducmV2&#10;LnhtbFBLAQIUABQAAAAIAIdO4kDCNDLU6QEAALADAAAOAAAAAAAAAAEAIAAAADoBAABkcnMvZTJv&#10;RG9jLnhtbFBLBQYAAAAABgAGAFkBAACVBQAAAAA=&#10;">
              <v:fill on="f" focussize="0,0"/>
              <v:stroke weight="4.5pt" color="#FF0000" linestyle="thinThick" joinstyle="round"/>
              <v:imagedata o:title=""/>
              <o:lock v:ext="edit" aspectratio="f"/>
              <w10:anchorlock/>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9984B"/>
    <w:rsid w:val="1DF781B9"/>
    <w:rsid w:val="27F95111"/>
    <w:rsid w:val="397B4910"/>
    <w:rsid w:val="4AE9984B"/>
    <w:rsid w:val="51CB31CC"/>
    <w:rsid w:val="5AFD6C5E"/>
    <w:rsid w:val="67DFA070"/>
    <w:rsid w:val="6CD5451D"/>
    <w:rsid w:val="731358A4"/>
    <w:rsid w:val="77FA49B2"/>
    <w:rsid w:val="7F77D117"/>
    <w:rsid w:val="D63BA178"/>
    <w:rsid w:val="DBE9D580"/>
    <w:rsid w:val="DCBF74AD"/>
    <w:rsid w:val="DFF8FC06"/>
    <w:rsid w:val="F6FF53C7"/>
    <w:rsid w:val="F9FB3277"/>
    <w:rsid w:val="FBFEA4B9"/>
    <w:rsid w:val="FD5CAD83"/>
    <w:rsid w:val="FD78FD87"/>
    <w:rsid w:val="FDF739F1"/>
    <w:rsid w:val="FEE7362E"/>
    <w:rsid w:val="FEFB8D09"/>
    <w:rsid w:val="FFBD6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leader="hyphen" w:pos="4153"/>
        <w:tab w:val="right" w:pos="8306"/>
      </w:tabs>
      <w:snapToGrid w:val="0"/>
      <w:jc w:val="right"/>
    </w:pPr>
    <w:rPr>
      <w:sz w:val="28"/>
      <w:szCs w:val="18"/>
    </w:rPr>
  </w:style>
  <w:style w:type="paragraph" w:styleId="5">
    <w:name w:val="header"/>
    <w:basedOn w:val="1"/>
    <w:qFormat/>
    <w:uiPriority w:val="0"/>
    <w:pP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仿宋_GB2312"/>
      <w:sz w:val="28"/>
      <w:lang w:eastAsia="zh-CN"/>
    </w:rPr>
  </w:style>
  <w:style w:type="paragraph" w:customStyle="1" w:styleId="9">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2009</Words>
  <Characters>2106</Characters>
  <Lines>0</Lines>
  <Paragraphs>0</Paragraphs>
  <TotalTime>7</TotalTime>
  <ScaleCrop>false</ScaleCrop>
  <LinksUpToDate>false</LinksUpToDate>
  <CharactersWithSpaces>2168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2025-06-07T23:22:00Z</dcterms:created>
  <dc:creator>luohy</dc:creator>
  <cp:lastModifiedBy>黄健敏</cp:lastModifiedBy>
  <dcterms:modified xsi:type="dcterms:W3CDTF">2026-02-11T17:33:30Z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8AA668B5DD8285C08B198C68642ED669</vt:lpwstr>
  </property>
  <property fmtid="{D5CDD505-2E9C-101B-9397-08002B2CF9AE}" pid="4" name="KSOTemplateDocerSaveRecord">
    <vt:lpwstr>eyJoZGlkIjoiMjNhMTNlNjI4ODRkYzA3ODVhZTAyMGE2MzE2YWQ3NjYiLCJ1c2VySWQiOiIyNjczOTk5MTAifQ==</vt:lpwstr>
  </property>
</Properties>
</file>