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rPr>
      </w:pPr>
      <w:r>
        <w:rPr>
          <w:rFonts w:hint="default" w:ascii="Times New Roman" w:hAnsi="Times New Roman" w:eastAsia="黑体" w:cs="Times New Roman"/>
        </w:rPr>
        <w:t>附件1</w:t>
      </w:r>
    </w:p>
    <w:p>
      <w:pPr>
        <w:rPr>
          <w:rFonts w:hint="default" w:ascii="Times New Roman" w:hAnsi="Times New Roman" w:cs="Times New Roman"/>
        </w:rPr>
      </w:pPr>
    </w:p>
    <w:p>
      <w:pPr>
        <w:spacing w:line="720" w:lineRule="exact"/>
        <w:jc w:val="center"/>
        <w:rPr>
          <w:rFonts w:hint="default" w:ascii="Times New Roman" w:hAnsi="Times New Roman" w:eastAsia="方正小标宋简体" w:cs="Times New Roman"/>
          <w:sz w:val="44"/>
          <w:szCs w:val="44"/>
        </w:rPr>
      </w:pPr>
      <w:bookmarkStart w:id="1" w:name="_GoBack"/>
      <w:r>
        <w:rPr>
          <w:rFonts w:hint="default" w:ascii="Times New Roman" w:hAnsi="Times New Roman" w:eastAsia="方正大标宋简体" w:cs="Times New Roman"/>
          <w:sz w:val="44"/>
          <w:szCs w:val="44"/>
        </w:rPr>
        <w:t>东莞市</w:t>
      </w:r>
      <w:r>
        <w:rPr>
          <w:rFonts w:hint="default" w:ascii="Times New Roman" w:hAnsi="Times New Roman" w:eastAsia="方正大标宋简体" w:cs="Times New Roman"/>
          <w:sz w:val="44"/>
          <w:szCs w:val="44"/>
          <w:lang w:val="en-US" w:eastAsia="zh-CN"/>
        </w:rPr>
        <w:t>发展和改革局</w:t>
      </w:r>
      <w:r>
        <w:rPr>
          <w:rFonts w:hint="default" w:ascii="Times New Roman" w:hAnsi="Times New Roman" w:eastAsia="方正小标宋简体" w:cs="Times New Roman"/>
          <w:sz w:val="44"/>
          <w:szCs w:val="44"/>
        </w:rPr>
        <w:t>2025年度行政许可</w:t>
      </w:r>
    </w:p>
    <w:p>
      <w:pPr>
        <w:spacing w:line="7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实施和监督管理情况报告</w:t>
      </w:r>
    </w:p>
    <w:bookmarkEnd w:id="1"/>
    <w:p>
      <w:pPr>
        <w:ind w:firstLine="670" w:firstLineChars="200"/>
        <w:rPr>
          <w:rFonts w:hint="default" w:ascii="Times New Roman" w:hAnsi="Times New Roman" w:cs="Times New Roman"/>
        </w:rPr>
      </w:pPr>
    </w:p>
    <w:p>
      <w:pPr>
        <w:ind w:firstLine="670" w:firstLineChars="200"/>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rPr>
        <w:t>根据《广东省行政许可监督管理条例》</w:t>
      </w:r>
      <w:r>
        <w:rPr>
          <w:rFonts w:hint="default" w:ascii="Times New Roman" w:hAnsi="Times New Roman" w:eastAsia="仿宋_GB2312" w:cs="Times New Roman"/>
          <w:color w:val="auto"/>
          <w:sz w:val="32"/>
          <w:szCs w:val="32"/>
          <w:highlight w:val="none"/>
          <w:shd w:val="clear" w:color="auto" w:fill="auto"/>
        </w:rPr>
        <w:t>规定和有关要求，现将我局202</w:t>
      </w:r>
      <w:r>
        <w:rPr>
          <w:rFonts w:hint="default" w:ascii="Times New Roman" w:hAnsi="Times New Roman" w:cs="Times New Roman"/>
          <w:color w:val="auto"/>
          <w:sz w:val="32"/>
          <w:szCs w:val="32"/>
          <w:highlight w:val="none"/>
          <w:shd w:val="clear" w:color="auto" w:fill="auto"/>
          <w:lang w:val="en-US" w:eastAsia="zh-CN"/>
        </w:rPr>
        <w:t>5</w:t>
      </w:r>
      <w:r>
        <w:rPr>
          <w:rFonts w:hint="default" w:ascii="Times New Roman" w:hAnsi="Times New Roman" w:eastAsia="仿宋_GB2312" w:cs="Times New Roman"/>
          <w:color w:val="auto"/>
          <w:sz w:val="32"/>
          <w:szCs w:val="32"/>
          <w:highlight w:val="none"/>
          <w:shd w:val="clear" w:color="auto" w:fill="auto"/>
        </w:rPr>
        <w:t>年</w:t>
      </w:r>
      <w:bookmarkStart w:id="0" w:name="OLE_LINK3"/>
      <w:r>
        <w:rPr>
          <w:rFonts w:hint="default" w:ascii="Times New Roman" w:hAnsi="Times New Roman" w:eastAsia="仿宋_GB2312" w:cs="Times New Roman"/>
          <w:color w:val="auto"/>
          <w:sz w:val="32"/>
          <w:szCs w:val="32"/>
          <w:highlight w:val="none"/>
          <w:shd w:val="clear" w:color="auto" w:fill="auto"/>
        </w:rPr>
        <w:t>行政许可实施和监督管理情况</w:t>
      </w:r>
      <w:bookmarkEnd w:id="0"/>
      <w:r>
        <w:rPr>
          <w:rFonts w:hint="default" w:ascii="Times New Roman" w:hAnsi="Times New Roman" w:eastAsia="仿宋_GB2312" w:cs="Times New Roman"/>
          <w:color w:val="auto"/>
          <w:sz w:val="32"/>
          <w:szCs w:val="32"/>
          <w:highlight w:val="none"/>
          <w:shd w:val="clear" w:color="auto" w:fill="auto"/>
        </w:rPr>
        <w:t>报告如下</w:t>
      </w:r>
      <w:r>
        <w:rPr>
          <w:rFonts w:hint="default" w:ascii="Times New Roman" w:hAnsi="Times New Roman" w:eastAsia="仿宋_GB2312" w:cs="Times New Roman"/>
          <w:color w:val="auto"/>
          <w:sz w:val="32"/>
          <w:szCs w:val="32"/>
          <w:highlight w:val="none"/>
          <w:shd w:val="clear" w:color="auto" w:fill="auto"/>
          <w:lang w:val="en-US" w:eastAsia="zh-CN"/>
        </w:rPr>
        <w:t>:</w:t>
      </w:r>
    </w:p>
    <w:p>
      <w:pPr>
        <w:ind w:firstLine="670" w:firstLineChars="200"/>
        <w:rPr>
          <w:rFonts w:hint="default" w:ascii="Times New Roman" w:hAnsi="Times New Roman" w:eastAsia="黑体" w:cs="Times New Roman"/>
        </w:rPr>
      </w:pPr>
      <w:r>
        <w:rPr>
          <w:rFonts w:hint="default" w:ascii="Times New Roman" w:hAnsi="Times New Roman" w:eastAsia="黑体" w:cs="Times New Roman"/>
        </w:rPr>
        <w:t>一、基本情况</w:t>
      </w:r>
    </w:p>
    <w:p>
      <w:pPr>
        <w:ind w:firstLine="670" w:firstLineChars="200"/>
        <w:rPr>
          <w:rFonts w:hint="default" w:ascii="Times New Roman" w:hAnsi="Times New Roman" w:eastAsia="楷体_GB2312" w:cs="Times New Roman"/>
          <w:bCs/>
        </w:rPr>
      </w:pPr>
      <w:r>
        <w:rPr>
          <w:rFonts w:hint="default" w:ascii="Times New Roman" w:hAnsi="Times New Roman" w:eastAsia="楷体_GB2312" w:cs="Times New Roman"/>
          <w:bCs/>
        </w:rPr>
        <w:t>（一）行政审批改革任务落实情况</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70" w:firstLineChars="200"/>
        <w:textAlignment w:val="auto"/>
        <w:rPr>
          <w:rFonts w:hint="default" w:ascii="Times New Roman" w:hAnsi="Times New Roman" w:eastAsia="仿宋_GB2312" w:cs="Times New Roman"/>
          <w:i w:val="0"/>
          <w:caps w:val="0"/>
          <w:color w:val="0F1115"/>
          <w:spacing w:val="0"/>
          <w:sz w:val="32"/>
          <w:szCs w:val="32"/>
        </w:rPr>
      </w:pPr>
      <w:r>
        <w:rPr>
          <w:rFonts w:hint="default" w:ascii="Times New Roman" w:hAnsi="Times New Roman" w:eastAsia="仿宋_GB2312" w:cs="Times New Roman"/>
          <w:i w:val="0"/>
          <w:caps w:val="0"/>
          <w:color w:val="0F1115"/>
          <w:spacing w:val="0"/>
          <w:sz w:val="32"/>
          <w:szCs w:val="32"/>
          <w:shd w:val="clear" w:color="auto" w:fill="FFFFFF"/>
        </w:rPr>
        <w:t>2025年度，我局无市本级取消、下放的行政许可事项，亦无市本级清理规范的行政审批中介服务事项。对照《广东省行政许可事项清单（2023年版）》和《东莞市行政许可事项清单》，我局依托广东省政务服务事项管理系统，全面完成行政许可事项的标准化梳理与入库工作，并依据法律法规修订、政策文件调整及工作实际，对事项要素实行动态更新维护。</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70" w:firstLineChars="200"/>
        <w:textAlignment w:val="auto"/>
        <w:rPr>
          <w:rFonts w:hint="default" w:ascii="Times New Roman" w:hAnsi="Times New Roman" w:eastAsia="仿宋_GB2312" w:cs="Times New Roman"/>
          <w:i w:val="0"/>
          <w:caps w:val="0"/>
          <w:color w:val="0F1115"/>
          <w:spacing w:val="0"/>
          <w:sz w:val="32"/>
          <w:szCs w:val="32"/>
        </w:rPr>
      </w:pPr>
      <w:r>
        <w:rPr>
          <w:rFonts w:hint="default" w:ascii="Times New Roman" w:hAnsi="Times New Roman" w:eastAsia="仿宋_GB2312" w:cs="Times New Roman"/>
          <w:i w:val="0"/>
          <w:caps w:val="0"/>
          <w:color w:val="0F1115"/>
          <w:spacing w:val="0"/>
          <w:sz w:val="32"/>
          <w:szCs w:val="32"/>
          <w:shd w:val="clear" w:color="auto" w:fill="FFFFFF"/>
        </w:rPr>
        <w:t>截至2025年底，我局保留行政许可审批事项4项，分别为：固定资产投资项目核准（含国发〔2016〕72号文件规定的外商投资项目）、需要履行项目核准手续的依法必须招标的勘察、设计、监理等工程有关的服务招标范围、招标方</w:t>
      </w:r>
      <w:r>
        <w:rPr>
          <w:rFonts w:hint="default" w:ascii="Times New Roman" w:hAnsi="Times New Roman" w:cs="Times New Roman"/>
          <w:i w:val="0"/>
          <w:caps w:val="0"/>
          <w:color w:val="0F1115"/>
          <w:spacing w:val="0"/>
          <w:sz w:val="32"/>
          <w:szCs w:val="32"/>
          <w:shd w:val="clear" w:color="auto" w:fill="FFFFFF"/>
          <w:lang w:eastAsia="zh-CN"/>
        </w:rPr>
        <w:t>式</w:t>
      </w:r>
      <w:r>
        <w:rPr>
          <w:rFonts w:hint="default" w:ascii="Times New Roman" w:hAnsi="Times New Roman" w:eastAsia="仿宋_GB2312" w:cs="Times New Roman"/>
          <w:i w:val="0"/>
          <w:caps w:val="0"/>
          <w:color w:val="0F1115"/>
          <w:spacing w:val="0"/>
          <w:sz w:val="32"/>
          <w:szCs w:val="32"/>
          <w:shd w:val="clear" w:color="auto" w:fill="FFFFFF"/>
        </w:rPr>
        <w:t>和招标组织形式的提前单独核准、成品油零售经营资格审批、固定资产投资项目节能审查。</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70" w:firstLineChars="200"/>
        <w:textAlignment w:val="auto"/>
        <w:rPr>
          <w:rFonts w:hint="default" w:ascii="Times New Roman" w:hAnsi="Times New Roman" w:eastAsia="仿宋_GB2312" w:cs="Times New Roman"/>
          <w:i w:val="0"/>
          <w:caps w:val="0"/>
          <w:color w:val="0F1115"/>
          <w:spacing w:val="0"/>
          <w:sz w:val="32"/>
          <w:szCs w:val="32"/>
        </w:rPr>
      </w:pPr>
      <w:r>
        <w:rPr>
          <w:rFonts w:hint="default" w:ascii="Times New Roman" w:hAnsi="Times New Roman" w:eastAsia="仿宋_GB2312" w:cs="Times New Roman"/>
          <w:i w:val="0"/>
          <w:caps w:val="0"/>
          <w:color w:val="0F1115"/>
          <w:spacing w:val="0"/>
          <w:sz w:val="32"/>
          <w:szCs w:val="32"/>
          <w:shd w:val="clear" w:color="auto" w:fill="FFFFFF"/>
        </w:rPr>
        <w:t>在委托事项方面，我局自2016年起通过签订行政执法委托协议，将固定资产投资项目核准、招标事项核准等2项行政审批及服务事项委托镇街（园区）、功能区实施。通过集中培训、跟岗学习、线上指导等方式持续加强培训指导，提升基层承接能力；建立健全常态化事中事后监管机制，依托在线监测、现场核查、“一随机一通报”等措施强化监督管理；</w:t>
      </w:r>
      <w:r>
        <w:rPr>
          <w:rFonts w:hint="default" w:ascii="Times New Roman" w:hAnsi="Times New Roman" w:cs="Times New Roman"/>
          <w:i w:val="0"/>
          <w:caps w:val="0"/>
          <w:color w:val="0F1115"/>
          <w:spacing w:val="0"/>
          <w:sz w:val="32"/>
          <w:szCs w:val="32"/>
          <w:shd w:val="clear" w:color="auto" w:fill="FFFFFF"/>
          <w:lang w:eastAsia="zh-CN"/>
        </w:rPr>
        <w:t>不</w:t>
      </w:r>
      <w:r>
        <w:rPr>
          <w:rFonts w:hint="default" w:ascii="Times New Roman" w:hAnsi="Times New Roman" w:eastAsia="仿宋_GB2312" w:cs="Times New Roman"/>
          <w:i w:val="0"/>
          <w:caps w:val="0"/>
          <w:color w:val="0F1115"/>
          <w:spacing w:val="0"/>
          <w:sz w:val="32"/>
          <w:szCs w:val="32"/>
          <w:shd w:val="clear" w:color="auto" w:fill="FFFFFF"/>
        </w:rPr>
        <w:t>定期开展“回头看”工作，结合基层承接能力及监管实际，主动提出优化调整建议，确保委托事项规范有序运行。</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70" w:firstLineChars="200"/>
        <w:textAlignment w:val="auto"/>
        <w:rPr>
          <w:rFonts w:hint="default" w:ascii="Times New Roman" w:hAnsi="Times New Roman" w:eastAsia="仿宋_GB2312" w:cs="Times New Roman"/>
          <w:i w:val="0"/>
          <w:caps w:val="0"/>
          <w:color w:val="0F1115"/>
          <w:spacing w:val="0"/>
          <w:sz w:val="32"/>
          <w:szCs w:val="32"/>
        </w:rPr>
      </w:pPr>
      <w:r>
        <w:rPr>
          <w:rFonts w:hint="default" w:ascii="Times New Roman" w:hAnsi="Times New Roman" w:eastAsia="仿宋_GB2312" w:cs="Times New Roman"/>
          <w:i w:val="0"/>
          <w:caps w:val="0"/>
          <w:color w:val="0F1115"/>
          <w:spacing w:val="0"/>
          <w:sz w:val="32"/>
          <w:szCs w:val="32"/>
          <w:shd w:val="clear" w:color="auto" w:fill="FFFFFF"/>
        </w:rPr>
        <w:t>在行政许可事项标准实施方面，我局已在广东省政务平台管理系统完成全部行政许可事项的标准化录入，对实施主体、依据、流程、条件、期限、材料等要素进行统一规范，确保标准要素齐全、准确、规范，并根据法律法规及工作实际动态更新。严格按照标准办理许可事项，持续压减办理时限和申请材料，推动行政审批改革任务落地见效。</w:t>
      </w:r>
    </w:p>
    <w:p>
      <w:pPr>
        <w:ind w:firstLine="670" w:firstLineChars="200"/>
        <w:rPr>
          <w:rFonts w:hint="default" w:ascii="Times New Roman" w:hAnsi="Times New Roman" w:eastAsia="楷体_GB2312" w:cs="Times New Roman"/>
          <w:bCs/>
          <w:highlight w:val="none"/>
        </w:rPr>
      </w:pPr>
      <w:r>
        <w:rPr>
          <w:rFonts w:hint="default" w:ascii="Times New Roman" w:hAnsi="Times New Roman" w:eastAsia="楷体_GB2312" w:cs="Times New Roman"/>
          <w:bCs/>
          <w:highlight w:val="none"/>
        </w:rPr>
        <w:t>（二）行政许可事项实施情况</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70" w:firstLineChars="200"/>
        <w:textAlignment w:val="auto"/>
        <w:rPr>
          <w:rFonts w:hint="default" w:ascii="Times New Roman" w:hAnsi="Times New Roman" w:eastAsia="仿宋_GB2312" w:cs="Times New Roman"/>
          <w:i w:val="0"/>
          <w:caps w:val="0"/>
          <w:color w:val="0F1115"/>
          <w:spacing w:val="0"/>
          <w:sz w:val="32"/>
          <w:szCs w:val="32"/>
          <w:highlight w:val="none"/>
        </w:rPr>
      </w:pPr>
      <w:r>
        <w:rPr>
          <w:rFonts w:hint="default" w:ascii="Times New Roman" w:hAnsi="Times New Roman" w:eastAsia="仿宋_GB2312" w:cs="Times New Roman"/>
          <w:i w:val="0"/>
          <w:caps w:val="0"/>
          <w:color w:val="0F1115"/>
          <w:spacing w:val="0"/>
          <w:sz w:val="32"/>
          <w:szCs w:val="32"/>
          <w:highlight w:val="none"/>
          <w:shd w:val="clear" w:color="auto" w:fill="FFFFFF"/>
        </w:rPr>
        <w:t>我局严格依法依规，在门户网站全面公开行政许可事项的实施主体、依据、程序、条件、期限、裁量标准、申请材料、申请书格式文本、申请方式方法及咨询投诉方式等信息，并同步公开行政许可的实施过程和结果，确保透明规范。目前，我局行政许可审批事项网上办理率达100%，全部依托广东省政务服务网及广东省投资项目在线审批监管平台实现全流程网上办理和网上办结。</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70" w:firstLineChars="200"/>
        <w:textAlignment w:val="auto"/>
        <w:rPr>
          <w:rFonts w:hint="default" w:ascii="Times New Roman" w:hAnsi="Times New Roman" w:eastAsia="仿宋_GB2312" w:cs="Times New Roman"/>
          <w:i w:val="0"/>
          <w:caps w:val="0"/>
          <w:color w:val="0F1115"/>
          <w:spacing w:val="0"/>
          <w:sz w:val="32"/>
          <w:szCs w:val="32"/>
          <w:highlight w:val="none"/>
        </w:rPr>
      </w:pPr>
      <w:r>
        <w:rPr>
          <w:rFonts w:hint="default" w:ascii="Times New Roman" w:hAnsi="Times New Roman" w:eastAsia="仿宋_GB2312" w:cs="Times New Roman"/>
          <w:i w:val="0"/>
          <w:caps w:val="0"/>
          <w:color w:val="0F1115"/>
          <w:spacing w:val="0"/>
          <w:sz w:val="32"/>
          <w:szCs w:val="32"/>
          <w:highlight w:val="none"/>
          <w:shd w:val="clear" w:color="auto" w:fill="FFFFFF"/>
        </w:rPr>
        <w:t>2025年，我局共接收行政许可事项</w:t>
      </w:r>
      <w:r>
        <w:rPr>
          <w:rFonts w:hint="default" w:ascii="Times New Roman" w:hAnsi="Times New Roman" w:cs="Times New Roman"/>
          <w:i w:val="0"/>
          <w:caps w:val="0"/>
          <w:color w:val="0F1115"/>
          <w:spacing w:val="0"/>
          <w:sz w:val="32"/>
          <w:szCs w:val="32"/>
          <w:highlight w:val="none"/>
          <w:shd w:val="clear" w:color="auto" w:fill="FFFFFF"/>
          <w:lang w:val="en-US" w:eastAsia="zh-CN"/>
        </w:rPr>
        <w:t>1175</w:t>
      </w:r>
      <w:r>
        <w:rPr>
          <w:rFonts w:hint="default" w:ascii="Times New Roman" w:hAnsi="Times New Roman" w:eastAsia="仿宋_GB2312" w:cs="Times New Roman"/>
          <w:i w:val="0"/>
          <w:caps w:val="0"/>
          <w:color w:val="0F1115"/>
          <w:spacing w:val="0"/>
          <w:sz w:val="32"/>
          <w:szCs w:val="32"/>
          <w:highlight w:val="none"/>
          <w:shd w:val="clear" w:color="auto" w:fill="FFFFFF"/>
        </w:rPr>
        <w:t>宗，其中通过广东省投资项目在线审批监管平台办理企业投资项目核准34宗、依法必须招标的基建工程及特许经营项目招标方式和招标范围核准（申请公开招标事项）742宗、固定资产投资项目节能审查121宗；通过广东政务服务网广东省统一申办受理平台办理成品油零售经营许可278宗。全年网上办结率100%，无超期办结事项。在重点事项办理方面，与营商环境密切相关的企业投资项目核准、招标事项核准、成品油零售经营许可等事项，均实现全流程网上办理，严格落实办理时限要求，持续优化审批流程，有效提升服务效率，为企业和群众提供便捷高效的审批服务。</w:t>
      </w:r>
    </w:p>
    <w:p>
      <w:pPr>
        <w:ind w:firstLine="670" w:firstLineChars="200"/>
        <w:rPr>
          <w:rFonts w:hint="default" w:ascii="Times New Roman" w:hAnsi="Times New Roman" w:eastAsia="楷体_GB2312" w:cs="Times New Roman"/>
          <w:bCs/>
          <w:highlight w:val="none"/>
        </w:rPr>
      </w:pPr>
      <w:r>
        <w:rPr>
          <w:rFonts w:hint="default" w:ascii="Times New Roman" w:hAnsi="Times New Roman" w:eastAsia="楷体_GB2312" w:cs="Times New Roman"/>
          <w:bCs/>
          <w:highlight w:val="none"/>
        </w:rPr>
        <w:t>（三）加强事中事后监管情况</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70" w:firstLineChars="200"/>
        <w:textAlignment w:val="auto"/>
        <w:rPr>
          <w:rFonts w:hint="default" w:ascii="Times New Roman" w:hAnsi="Times New Roman" w:eastAsia="仿宋_GB2312" w:cs="Times New Roman"/>
          <w:i w:val="0"/>
          <w:caps w:val="0"/>
          <w:color w:val="0F1115"/>
          <w:spacing w:val="0"/>
          <w:sz w:val="32"/>
          <w:szCs w:val="32"/>
          <w:highlight w:val="none"/>
        </w:rPr>
      </w:pPr>
      <w:r>
        <w:rPr>
          <w:rFonts w:hint="default" w:ascii="Times New Roman" w:hAnsi="Times New Roman" w:eastAsia="仿宋_GB2312" w:cs="Times New Roman"/>
          <w:i w:val="0"/>
          <w:caps w:val="0"/>
          <w:color w:val="0F1115"/>
          <w:spacing w:val="0"/>
          <w:sz w:val="32"/>
          <w:szCs w:val="32"/>
          <w:highlight w:val="none"/>
          <w:shd w:val="clear" w:color="auto" w:fill="FFFFFF"/>
        </w:rPr>
        <w:t>2025年，我局持续健全事中事后监管制度体系，</w:t>
      </w:r>
      <w:r>
        <w:rPr>
          <w:rFonts w:hint="default" w:ascii="Times New Roman" w:hAnsi="Times New Roman" w:cs="Times New Roman"/>
          <w:i w:val="0"/>
          <w:caps w:val="0"/>
          <w:color w:val="0F1115"/>
          <w:spacing w:val="0"/>
          <w:sz w:val="32"/>
          <w:szCs w:val="32"/>
          <w:highlight w:val="none"/>
          <w:shd w:val="clear" w:color="auto" w:fill="FFFFFF"/>
          <w:lang w:eastAsia="zh-CN"/>
        </w:rPr>
        <w:t>根据</w:t>
      </w:r>
      <w:r>
        <w:rPr>
          <w:rFonts w:hint="default" w:ascii="Times New Roman" w:hAnsi="Times New Roman" w:eastAsia="仿宋_GB2312" w:cs="Times New Roman"/>
          <w:i w:val="0"/>
          <w:caps w:val="0"/>
          <w:color w:val="0F1115"/>
          <w:spacing w:val="0"/>
          <w:sz w:val="32"/>
          <w:szCs w:val="32"/>
          <w:highlight w:val="none"/>
          <w:shd w:val="clear" w:color="auto" w:fill="FFFFFF"/>
        </w:rPr>
        <w:t>《</w:t>
      </w:r>
      <w:r>
        <w:rPr>
          <w:rFonts w:hint="default" w:ascii="Times New Roman" w:hAnsi="Times New Roman" w:cs="Times New Roman"/>
          <w:i w:val="0"/>
          <w:caps w:val="0"/>
          <w:color w:val="0F1115"/>
          <w:spacing w:val="0"/>
          <w:sz w:val="32"/>
          <w:szCs w:val="32"/>
          <w:highlight w:val="none"/>
          <w:shd w:val="clear" w:color="auto" w:fill="FFFFFF"/>
          <w:lang w:eastAsia="zh-CN"/>
        </w:rPr>
        <w:t>东莞市发展和改革局</w:t>
      </w:r>
      <w:r>
        <w:rPr>
          <w:rFonts w:hint="default" w:ascii="Times New Roman" w:hAnsi="Times New Roman" w:eastAsia="仿宋_GB2312" w:cs="Times New Roman"/>
          <w:i w:val="0"/>
          <w:caps w:val="0"/>
          <w:color w:val="0F1115"/>
          <w:spacing w:val="0"/>
          <w:sz w:val="32"/>
          <w:szCs w:val="32"/>
          <w:highlight w:val="none"/>
          <w:shd w:val="clear" w:color="auto" w:fill="FFFFFF"/>
        </w:rPr>
        <w:t>行政检查工作细则》</w:t>
      </w:r>
      <w:r>
        <w:rPr>
          <w:rFonts w:hint="default" w:ascii="Times New Roman" w:hAnsi="Times New Roman" w:cs="Times New Roman"/>
          <w:i w:val="0"/>
          <w:caps w:val="0"/>
          <w:color w:val="0F1115"/>
          <w:spacing w:val="0"/>
          <w:sz w:val="32"/>
          <w:szCs w:val="32"/>
          <w:highlight w:val="none"/>
          <w:shd w:val="clear" w:color="auto" w:fill="FFFFFF"/>
          <w:lang w:eastAsia="zh-CN"/>
        </w:rPr>
        <w:t>，制定</w:t>
      </w:r>
      <w:r>
        <w:rPr>
          <w:rFonts w:hint="default" w:ascii="Times New Roman" w:hAnsi="Times New Roman" w:cs="Times New Roman"/>
          <w:i w:val="0"/>
          <w:caps w:val="0"/>
          <w:color w:val="0F1115"/>
          <w:spacing w:val="0"/>
          <w:sz w:val="32"/>
          <w:szCs w:val="32"/>
          <w:highlight w:val="none"/>
          <w:shd w:val="clear" w:color="auto" w:fill="FFFFFF"/>
          <w:lang w:val="en-US" w:eastAsia="zh-CN"/>
        </w:rPr>
        <w:t>2025</w:t>
      </w:r>
      <w:r>
        <w:rPr>
          <w:rFonts w:hint="default" w:ascii="Times New Roman" w:hAnsi="Times New Roman" w:eastAsia="仿宋_GB2312" w:cs="Times New Roman"/>
          <w:i w:val="0"/>
          <w:caps w:val="0"/>
          <w:color w:val="0F1115"/>
          <w:spacing w:val="0"/>
          <w:sz w:val="32"/>
          <w:szCs w:val="32"/>
          <w:highlight w:val="none"/>
          <w:shd w:val="clear" w:color="auto" w:fill="FFFFFF"/>
        </w:rPr>
        <w:t>年度检查计划，出台《成品油零售经营企业信用分级分类管理工作方案》建立“信用+风险”分级分类监管机制，印发双随机抽查事项清单9项，并完善镇街委托执法事项监管机制，确保监管不缺位。</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70" w:firstLineChars="200"/>
        <w:textAlignment w:val="auto"/>
        <w:rPr>
          <w:rFonts w:hint="default" w:ascii="Times New Roman" w:hAnsi="Times New Roman" w:eastAsia="仿宋_GB2312" w:cs="Times New Roman"/>
          <w:i w:val="0"/>
          <w:caps w:val="0"/>
          <w:color w:val="0F1115"/>
          <w:spacing w:val="0"/>
          <w:sz w:val="32"/>
          <w:szCs w:val="32"/>
          <w:highlight w:val="none"/>
        </w:rPr>
      </w:pPr>
      <w:r>
        <w:rPr>
          <w:rFonts w:hint="default" w:ascii="Times New Roman" w:hAnsi="Times New Roman" w:eastAsia="仿宋_GB2312" w:cs="Times New Roman"/>
          <w:i w:val="0"/>
          <w:caps w:val="0"/>
          <w:color w:val="0F1115"/>
          <w:spacing w:val="0"/>
          <w:sz w:val="32"/>
          <w:szCs w:val="32"/>
          <w:highlight w:val="none"/>
          <w:shd w:val="clear" w:color="auto" w:fill="FFFFFF"/>
        </w:rPr>
        <w:t>在监管开展方面，围绕行政许可事项扎实开展执法检查。节能审查</w:t>
      </w:r>
      <w:r>
        <w:rPr>
          <w:rFonts w:hint="eastAsia" w:cs="Times New Roman"/>
          <w:i w:val="0"/>
          <w:caps w:val="0"/>
          <w:color w:val="0F1115"/>
          <w:spacing w:val="0"/>
          <w:sz w:val="32"/>
          <w:szCs w:val="32"/>
          <w:highlight w:val="none"/>
          <w:shd w:val="clear" w:color="auto" w:fill="FFFFFF"/>
          <w:lang w:eastAsia="zh-CN"/>
        </w:rPr>
        <w:t>方面，</w:t>
      </w:r>
      <w:r>
        <w:rPr>
          <w:rFonts w:hint="default" w:ascii="Times New Roman" w:hAnsi="Times New Roman" w:eastAsia="仿宋_GB2312" w:cs="Times New Roman"/>
          <w:i w:val="0"/>
          <w:caps w:val="0"/>
          <w:color w:val="0F1115"/>
          <w:spacing w:val="0"/>
          <w:sz w:val="32"/>
          <w:szCs w:val="32"/>
          <w:highlight w:val="none"/>
          <w:shd w:val="clear" w:color="auto" w:fill="FFFFFF"/>
        </w:rPr>
        <w:t>对71个项目开展监察，累计出动142人次，未发生监管失职事故；加强电网项目招标投标监管，将2012年以来电网项目纳入省招标投标抽查范畴；联合开展政策性粮油库存检查，抽查7家承储企业并完成8个问题隐患整改；开展充电桩安全巡查覆盖全市34个镇街，推动整改安全隐患7745个，整改完成率92%。全年开展行政检查15次、行政处罚10次，针对已取消或下放事项开展“回头看”，按20%比例抽查镇街卷宗，整改申报材料不规范、系统操作不当等问题。</w:t>
      </w:r>
    </w:p>
    <w:p>
      <w:pPr>
        <w:ind w:firstLine="670" w:firstLineChars="200"/>
        <w:rPr>
          <w:rFonts w:hint="default" w:ascii="Times New Roman" w:hAnsi="Times New Roman" w:eastAsia="仿宋_GB2312" w:cs="Times New Roman"/>
          <w:i w:val="0"/>
          <w:caps w:val="0"/>
          <w:color w:val="0F1115"/>
          <w:spacing w:val="0"/>
          <w:sz w:val="32"/>
          <w:szCs w:val="32"/>
          <w:highlight w:val="none"/>
          <w:shd w:val="clear" w:color="auto" w:fill="FFFFFF"/>
        </w:rPr>
      </w:pPr>
      <w:r>
        <w:rPr>
          <w:rFonts w:hint="default" w:ascii="Times New Roman" w:hAnsi="Times New Roman" w:eastAsia="仿宋_GB2312" w:cs="Times New Roman"/>
          <w:i w:val="0"/>
          <w:caps w:val="0"/>
          <w:color w:val="0F1115"/>
          <w:spacing w:val="0"/>
          <w:sz w:val="32"/>
          <w:szCs w:val="32"/>
          <w:highlight w:val="none"/>
          <w:shd w:val="clear" w:color="auto" w:fill="FFFFFF"/>
        </w:rPr>
        <w:t>在创新监管方式方面，全面推进“双随机、一公开”监管，部门联合抽查任务6项，联合抽查对象占95.5%，联合抽查任务占85.7%；严格落实“扫码入企”制度，自</w:t>
      </w:r>
      <w:r>
        <w:rPr>
          <w:rFonts w:hint="eastAsia" w:cs="Times New Roman"/>
          <w:i w:val="0"/>
          <w:caps w:val="0"/>
          <w:color w:val="0F1115"/>
          <w:spacing w:val="0"/>
          <w:sz w:val="32"/>
          <w:szCs w:val="32"/>
          <w:highlight w:val="none"/>
          <w:shd w:val="clear" w:color="auto" w:fill="FFFFFF"/>
          <w:lang w:val="en-US" w:eastAsia="zh-CN"/>
        </w:rPr>
        <w:t>2025年</w:t>
      </w:r>
      <w:r>
        <w:rPr>
          <w:rFonts w:hint="default" w:ascii="Times New Roman" w:hAnsi="Times New Roman" w:eastAsia="仿宋_GB2312" w:cs="Times New Roman"/>
          <w:i w:val="0"/>
          <w:caps w:val="0"/>
          <w:color w:val="0F1115"/>
          <w:spacing w:val="0"/>
          <w:sz w:val="32"/>
          <w:szCs w:val="32"/>
          <w:highlight w:val="none"/>
          <w:shd w:val="clear" w:color="auto" w:fill="FFFFFF"/>
        </w:rPr>
        <w:t>8月开展以来使用“扫码入企”检查14次，发现问题1项；积极运用非现场监管方式，非现场检查对象占44%；推行“信用+风险”差异化监管，对高风险加油站每季度联合检查一次，低风险加油站采用“双随机”方式检查；依托省行政执法信息平台等信息化手段推动智慧监管；举办镇街节能监察业务培训会，并在官网发布问题线索征集公告，截至</w:t>
      </w:r>
      <w:r>
        <w:rPr>
          <w:rFonts w:hint="eastAsia" w:cs="Times New Roman"/>
          <w:i w:val="0"/>
          <w:caps w:val="0"/>
          <w:color w:val="0F1115"/>
          <w:spacing w:val="0"/>
          <w:sz w:val="32"/>
          <w:szCs w:val="32"/>
          <w:highlight w:val="none"/>
          <w:shd w:val="clear" w:color="auto" w:fill="FFFFFF"/>
          <w:lang w:val="en-US" w:eastAsia="zh-CN"/>
        </w:rPr>
        <w:t>2025</w:t>
      </w:r>
      <w:r>
        <w:rPr>
          <w:rFonts w:hint="default" w:ascii="Times New Roman" w:hAnsi="Times New Roman" w:eastAsia="仿宋_GB2312" w:cs="Times New Roman"/>
          <w:i w:val="0"/>
          <w:caps w:val="0"/>
          <w:color w:val="0F1115"/>
          <w:spacing w:val="0"/>
          <w:sz w:val="32"/>
          <w:szCs w:val="32"/>
          <w:highlight w:val="none"/>
          <w:shd w:val="clear" w:color="auto" w:fill="FFFFFF"/>
        </w:rPr>
        <w:t>年底未收到投诉举报。</w:t>
      </w:r>
    </w:p>
    <w:p>
      <w:pPr>
        <w:ind w:firstLine="670" w:firstLineChars="200"/>
        <w:rPr>
          <w:rFonts w:hint="default" w:ascii="Times New Roman" w:hAnsi="Times New Roman" w:cs="Times New Roman"/>
          <w:b/>
          <w:bCs/>
        </w:rPr>
      </w:pPr>
      <w:r>
        <w:rPr>
          <w:rFonts w:hint="default" w:ascii="Times New Roman" w:hAnsi="Times New Roman" w:eastAsia="楷体_GB2312" w:cs="Times New Roman"/>
          <w:bCs/>
        </w:rPr>
        <w:t>（四）创新和优化服务情况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70" w:firstLineChars="200"/>
        <w:jc w:val="left"/>
        <w:textAlignment w:val="auto"/>
        <w:rPr>
          <w:rFonts w:hint="default" w:ascii="Times New Roman" w:hAnsi="Times New Roman" w:eastAsia="仿宋_GB2312" w:cs="Times New Roman"/>
          <w:i w:val="0"/>
          <w:caps w:val="0"/>
          <w:color w:val="0F1115"/>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F1115"/>
          <w:spacing w:val="0"/>
          <w:kern w:val="0"/>
          <w:sz w:val="32"/>
          <w:szCs w:val="32"/>
          <w:highlight w:val="none"/>
          <w:shd w:val="clear" w:color="auto" w:fill="FFFFFF"/>
          <w:lang w:val="en-US" w:eastAsia="zh-CN" w:bidi="ar"/>
        </w:rPr>
        <w:t>2025年，我局持续深化审批服务创新，全面提升服务效能。在提高服务质量方面，进一步规范工程建设项目涉及我局事项的所有办理时间，明确技术审查、专家评审、公开征求意见等环节要求，依托广东省投资项目在线审批监管平台</w:t>
      </w:r>
      <w:r>
        <w:rPr>
          <w:rFonts w:hint="default" w:ascii="Times New Roman" w:hAnsi="Times New Roman" w:cs="Times New Roman"/>
          <w:i w:val="0"/>
          <w:caps w:val="0"/>
          <w:color w:val="0F1115"/>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caps w:val="0"/>
          <w:color w:val="0F1115"/>
          <w:spacing w:val="0"/>
          <w:sz w:val="32"/>
          <w:szCs w:val="32"/>
          <w:highlight w:val="none"/>
          <w:shd w:val="clear" w:color="auto" w:fill="FFFFFF"/>
        </w:rPr>
        <w:t>广东政务服务网广东省统一申办受理平台</w:t>
      </w:r>
      <w:r>
        <w:rPr>
          <w:rFonts w:hint="default" w:ascii="Times New Roman" w:hAnsi="Times New Roman" w:eastAsia="仿宋_GB2312" w:cs="Times New Roman"/>
          <w:i w:val="0"/>
          <w:caps w:val="0"/>
          <w:color w:val="0F1115"/>
          <w:spacing w:val="0"/>
          <w:kern w:val="0"/>
          <w:sz w:val="32"/>
          <w:szCs w:val="32"/>
          <w:highlight w:val="none"/>
          <w:shd w:val="clear" w:color="auto" w:fill="FFFFFF"/>
          <w:lang w:val="en-US" w:eastAsia="zh-CN" w:bidi="ar"/>
        </w:rPr>
        <w:t>实现全流程网上办理，企业申报材料提交、审批结果获取均通过线上无纸化办理，批复文件可在线打印，并建立健全首问负责、一次性告知等制度，加强对申办受理环节的监督监控，确保服务过程可考核、有追踪、受监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70" w:firstLineChars="200"/>
        <w:jc w:val="left"/>
        <w:textAlignment w:val="auto"/>
        <w:rPr>
          <w:rFonts w:hint="default" w:ascii="Times New Roman" w:hAnsi="Times New Roman" w:eastAsia="仿宋_GB2312" w:cs="Times New Roman"/>
          <w:i w:val="0"/>
          <w:caps w:val="0"/>
          <w:color w:val="0F1115"/>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F1115"/>
          <w:spacing w:val="0"/>
          <w:kern w:val="0"/>
          <w:sz w:val="32"/>
          <w:szCs w:val="32"/>
          <w:highlight w:val="none"/>
          <w:shd w:val="clear" w:color="auto" w:fill="FFFFFF"/>
          <w:lang w:val="en-US" w:eastAsia="zh-CN" w:bidi="ar"/>
        </w:rPr>
        <w:t>在优化办理流程方面，坚持企业投资核准范围最小化，对核准目录外的项目一律实行备案制，牵头修订《东莞市政府投资项目全过程管理办法》，建立贯穿项目谋划、决策审批、实施建设、竣工验收的全过程管理机制，提出优化审批流程、优化审批权限、强化投资控制等举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70" w:firstLineChars="200"/>
        <w:jc w:val="left"/>
        <w:textAlignment w:val="auto"/>
        <w:rPr>
          <w:rFonts w:hint="default" w:ascii="Times New Roman" w:hAnsi="Times New Roman" w:eastAsia="仿宋_GB2312" w:cs="Times New Roman"/>
          <w:i w:val="0"/>
          <w:caps w:val="0"/>
          <w:color w:val="0F1115"/>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F1115"/>
          <w:spacing w:val="0"/>
          <w:kern w:val="0"/>
          <w:sz w:val="32"/>
          <w:szCs w:val="32"/>
          <w:highlight w:val="none"/>
          <w:shd w:val="clear" w:color="auto" w:fill="FFFFFF"/>
          <w:lang w:val="en-US" w:eastAsia="zh-CN" w:bidi="ar"/>
        </w:rPr>
        <w:t>在精简办事材料方面，依托在线审批平台整合政务服务数据资源，全面推行无纸化办理，持续清理取消不必要的前置条件和繁琐手续。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70" w:firstLineChars="200"/>
        <w:jc w:val="left"/>
        <w:textAlignment w:val="auto"/>
        <w:rPr>
          <w:rFonts w:hint="default" w:ascii="Times New Roman" w:hAnsi="Times New Roman" w:cs="Times New Roman"/>
          <w:color w:val="FF0000"/>
          <w:highlight w:val="none"/>
        </w:rPr>
      </w:pPr>
      <w:r>
        <w:rPr>
          <w:rFonts w:hint="default" w:ascii="Times New Roman" w:hAnsi="Times New Roman" w:eastAsia="仿宋_GB2312" w:cs="Times New Roman"/>
          <w:i w:val="0"/>
          <w:caps w:val="0"/>
          <w:color w:val="0F1115"/>
          <w:spacing w:val="0"/>
          <w:kern w:val="0"/>
          <w:sz w:val="32"/>
          <w:szCs w:val="32"/>
          <w:highlight w:val="none"/>
          <w:shd w:val="clear" w:color="auto" w:fill="FFFFFF"/>
          <w:lang w:val="en-US" w:eastAsia="zh-CN" w:bidi="ar"/>
        </w:rPr>
        <w:t>在缩短办事时限方面，备案类项目在项目单位提交信息后24小时内完成备案，固定资产投资项目节能审查承诺时限1天（法定时限20天），紧急电力项目核准可在4个工作日内完成（含3个工作日公示），主要行政许可事项审批时限均压减50%以上。</w:t>
      </w:r>
    </w:p>
    <w:p>
      <w:pPr>
        <w:numPr>
          <w:ilvl w:val="0"/>
          <w:numId w:val="2"/>
        </w:numPr>
        <w:ind w:firstLine="670" w:firstLineChars="200"/>
        <w:rPr>
          <w:rFonts w:hint="default" w:ascii="Times New Roman" w:hAnsi="Times New Roman" w:eastAsia="黑体" w:cs="Times New Roman"/>
        </w:rPr>
      </w:pPr>
      <w:r>
        <w:rPr>
          <w:rFonts w:hint="default" w:ascii="Times New Roman" w:hAnsi="Times New Roman" w:eastAsia="黑体" w:cs="Times New Roman"/>
        </w:rPr>
        <w:t>取得成效</w:t>
      </w:r>
    </w:p>
    <w:p>
      <w:pPr>
        <w:numPr>
          <w:ilvl w:val="0"/>
          <w:numId w:val="0"/>
        </w:numPr>
        <w:ind w:firstLine="670" w:firstLineChars="200"/>
        <w:rPr>
          <w:rFonts w:hint="default" w:ascii="Times New Roman" w:hAnsi="Times New Roman" w:eastAsia="仿宋_GB2312" w:cs="Times New Roman"/>
          <w:i w:val="0"/>
          <w:caps w:val="0"/>
          <w:color w:val="0F1115"/>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F1115"/>
          <w:spacing w:val="0"/>
          <w:kern w:val="0"/>
          <w:sz w:val="32"/>
          <w:szCs w:val="32"/>
          <w:shd w:val="clear" w:color="auto" w:fill="FFFFFF"/>
          <w:lang w:val="en-US" w:eastAsia="zh-CN" w:bidi="ar"/>
        </w:rPr>
        <w:t>2025年，我局行政许可审批事项均做到依法依规、严格执行、及时受理、按时办结，全面达到设立许可时的预期效果。通过推行“容缺审批”“不见面审批”及“互联网+政务服务”的审批新模式，依托“广东省投资项目在线监管平台”实现全网通办，极大提高了办事效率，真正实现群众办事“零跑动”，得到广大市民和企业的高度肯定与好评。在规范市场秩序方面，严格依法审批确保了市场准入的公平透明，有效维护了市场秩序；在推动经济社会发展方面，高效便捷的审批服务有力支撑了项目快速落地，促进了投资便利化，取得了良好的经济和社会效益。同时，我局牢固树立耐心服务意识，大力推进政务信息公开，持续加强政府信息依申请公开和信访答复工作，规范处理12345热线问题，认真倾听群众心声，及时回应群众诉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7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F1115"/>
          <w:spacing w:val="0"/>
          <w:kern w:val="0"/>
          <w:sz w:val="32"/>
          <w:szCs w:val="32"/>
          <w:shd w:val="clear" w:color="auto" w:fill="FFFFFF"/>
          <w:lang w:val="en-US" w:eastAsia="zh-CN" w:bidi="ar"/>
        </w:rPr>
        <w:t>全年服务对象对事项办理满意度保持较好水平，未收到涉及行政许可的投诉举报事项，未出现违规办理行政许可事项的情况，办理过程中未发生不遵守办理规定以及弄虚作假、徇私舞弊、滥用职权、应作为而不作为或乱作为的情形。</w:t>
      </w:r>
    </w:p>
    <w:p>
      <w:pPr>
        <w:ind w:firstLine="670" w:firstLineChars="200"/>
        <w:rPr>
          <w:rFonts w:hint="default" w:ascii="Times New Roman" w:hAnsi="Times New Roman" w:eastAsia="黑体" w:cs="Times New Roman"/>
        </w:rPr>
      </w:pPr>
      <w:r>
        <w:rPr>
          <w:rFonts w:hint="default" w:ascii="Times New Roman" w:hAnsi="Times New Roman" w:eastAsia="黑体" w:cs="Times New Roman"/>
        </w:rPr>
        <w:t>三、存在问题和困难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7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i w:val="0"/>
          <w:caps w:val="0"/>
          <w:color w:val="0F1115"/>
          <w:spacing w:val="0"/>
          <w:kern w:val="0"/>
          <w:sz w:val="32"/>
          <w:szCs w:val="32"/>
          <w:shd w:val="clear" w:fill="FFFFFF"/>
          <w:lang w:val="en-US" w:eastAsia="zh-CN" w:bidi="ar"/>
        </w:rPr>
        <w:t>2025年，我局在行政许可实施和监督管理过程中取得了一定成效，但在实际工作中也发现了一些需要持续改进的方向。一是在法治宣传方面，宣传形式的精准性和覆盖效果还有进一步提升的空间。二是在行政执法队伍建设方面，专业化水平和执法能力仍在持续提升过程中。三是在委托事项管理方面，基层承接能力和常态化监管机制仍需进一步健全。</w:t>
      </w:r>
    </w:p>
    <w:p>
      <w:pPr>
        <w:ind w:firstLine="670" w:firstLineChars="200"/>
        <w:rPr>
          <w:rFonts w:hint="default" w:ascii="Times New Roman" w:hAnsi="Times New Roman" w:eastAsia="黑体" w:cs="Times New Roman"/>
          <w:highlight w:val="none"/>
        </w:rPr>
      </w:pPr>
    </w:p>
    <w:p>
      <w:pPr>
        <w:ind w:firstLine="670" w:firstLineChars="200"/>
        <w:rPr>
          <w:rFonts w:hint="default" w:ascii="Times New Roman" w:hAnsi="Times New Roman" w:eastAsia="黑体" w:cs="Times New Roman"/>
          <w:highlight w:val="none"/>
        </w:rPr>
      </w:pPr>
      <w:r>
        <w:rPr>
          <w:rFonts w:hint="default" w:ascii="Times New Roman" w:hAnsi="Times New Roman" w:eastAsia="黑体" w:cs="Times New Roman"/>
          <w:highlight w:val="none"/>
        </w:rPr>
        <w:t>四、下一步的工作措施及有关意见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70" w:firstLineChars="200"/>
        <w:jc w:val="left"/>
        <w:textAlignment w:val="auto"/>
        <w:rPr>
          <w:rFonts w:hint="default" w:ascii="Times New Roman" w:hAnsi="Times New Roman" w:eastAsia="黑体" w:cs="Times New Roman"/>
        </w:rPr>
      </w:pPr>
      <w:r>
        <w:rPr>
          <w:rFonts w:hint="default" w:ascii="Times New Roman" w:hAnsi="Times New Roman" w:eastAsia="仿宋_GB2312" w:cs="Times New Roman"/>
          <w:i w:val="0"/>
          <w:caps w:val="0"/>
          <w:color w:val="0F1115"/>
          <w:spacing w:val="0"/>
          <w:kern w:val="0"/>
          <w:sz w:val="32"/>
          <w:szCs w:val="32"/>
          <w:shd w:val="clear" w:fill="FFFFFF"/>
          <w:lang w:val="en-US" w:eastAsia="zh-CN" w:bidi="ar"/>
        </w:rPr>
        <w:t>我局将重点抓好以下工作：一是持续提升法治宣传质效，围绕项目管理、节能审查等重点领域，创新普法形式，开展政策解读和专题培训，充分运用新媒体拓展宣传覆盖面，增强宣传的针对性和实效性。二是持续加强执法队伍建设，定期组织开展业务培训和法律法规学习，不断提升节能监察、项目审批等专业领域的执法能力，健全完善考核评价机制。三是持续强化委托事项监管，常态化开展“回头看”，加强对镇街的业务指导和卷宗抽查，针对共性问题制定统一操作指引，建立动态评估机制，确保事权</w:t>
      </w:r>
      <w:r>
        <w:rPr>
          <w:rFonts w:hint="default" w:ascii="Times New Roman" w:hAnsi="Times New Roman" w:cs="Times New Roman"/>
          <w:i w:val="0"/>
          <w:caps w:val="0"/>
          <w:color w:val="0F1115"/>
          <w:spacing w:val="0"/>
          <w:kern w:val="0"/>
          <w:sz w:val="32"/>
          <w:szCs w:val="32"/>
          <w:shd w:val="clear" w:fill="FFFFFF"/>
          <w:lang w:val="en-US" w:eastAsia="zh-CN" w:bidi="ar"/>
        </w:rPr>
        <w:t>委托</w:t>
      </w:r>
      <w:r>
        <w:rPr>
          <w:rFonts w:hint="default" w:ascii="Times New Roman" w:hAnsi="Times New Roman" w:eastAsia="仿宋_GB2312" w:cs="Times New Roman"/>
          <w:i w:val="0"/>
          <w:caps w:val="0"/>
          <w:color w:val="0F1115"/>
          <w:spacing w:val="0"/>
          <w:kern w:val="0"/>
          <w:sz w:val="32"/>
          <w:szCs w:val="32"/>
          <w:shd w:val="clear" w:fill="FFFFFF"/>
          <w:lang w:val="en-US" w:eastAsia="zh-CN" w:bidi="ar"/>
        </w:rPr>
        <w:t>后监管不缺位。四是持续深化审批服务提质增效，进一步压减审批时限，不断提升企业和群众的满意度。</w:t>
      </w:r>
    </w:p>
    <w:p>
      <w:pPr>
        <w:rPr>
          <w:rFonts w:hint="default" w:ascii="Times New Roman" w:hAnsi="Times New Roman" w:eastAsia="黑体" w:cs="Times New Roman"/>
        </w:rPr>
      </w:pPr>
    </w:p>
    <w:p>
      <w:pPr>
        <w:rPr>
          <w:rFonts w:hint="default" w:ascii="Times New Roman" w:hAnsi="Times New Roman" w:cs="Times New Roman"/>
        </w:rPr>
      </w:pPr>
    </w:p>
    <w:p>
      <w:pPr>
        <w:ind w:firstLine="670" w:firstLineChars="200"/>
        <w:rPr>
          <w:rFonts w:hint="default" w:ascii="Times New Roman" w:hAnsi="Times New Roman" w:cs="Times New Roman"/>
        </w:rPr>
      </w:pPr>
    </w:p>
    <w:p>
      <w:pPr>
        <w:ind w:firstLine="670" w:firstLineChars="200"/>
        <w:rPr>
          <w:rFonts w:hint="default" w:ascii="Times New Roman" w:hAnsi="Times New Roman" w:cs="Times New Roman"/>
        </w:rPr>
      </w:pPr>
    </w:p>
    <w:p>
      <w:pPr>
        <w:rPr>
          <w:rFonts w:hint="default" w:ascii="Times New Roman" w:hAnsi="Times New Roman" w:cs="Times New Roman"/>
        </w:rPr>
        <w:sectPr>
          <w:pgSz w:w="11906" w:h="16838"/>
          <w:pgMar w:top="2211" w:right="1588" w:bottom="1871" w:left="1588" w:header="851" w:footer="1474" w:gutter="0"/>
          <w:cols w:space="720" w:num="1"/>
          <w:docGrid w:type="linesAndChars" w:linePitch="579" w:charSpace="3229"/>
        </w:sectPr>
      </w:pPr>
    </w:p>
    <w:p>
      <w:pPr>
        <w:pStyle w:val="28"/>
        <w:spacing w:line="528" w:lineRule="atLeast"/>
        <w:ind w:left="24"/>
        <w:textAlignment w:val="baseline"/>
        <w:rPr>
          <w:rFonts w:hint="eastAsia" w:ascii="Times New Roman" w:hAnsi="Times New Roman" w:eastAsia="黑体" w:cs="Times New Roman"/>
          <w:sz w:val="32"/>
          <w:szCs w:val="32"/>
          <w:lang w:val="zh" w:eastAsia="zh-CN"/>
        </w:rPr>
      </w:pPr>
      <w:r>
        <w:rPr>
          <w:rFonts w:hint="default" w:ascii="Times New Roman" w:hAnsi="Times New Roman" w:eastAsia="黑体" w:cs="Times New Roman"/>
          <w:sz w:val="32"/>
          <w:szCs w:val="32"/>
          <w:lang w:val="zh"/>
        </w:rPr>
        <w:t>附件</w:t>
      </w:r>
      <w:r>
        <w:rPr>
          <w:rFonts w:hint="eastAsia" w:ascii="Times New Roman" w:hAnsi="Times New Roman" w:eastAsia="黑体" w:cs="Times New Roman"/>
          <w:sz w:val="32"/>
          <w:szCs w:val="32"/>
          <w:lang w:val="en-US" w:eastAsia="zh-CN"/>
        </w:rPr>
        <w:t>2</w:t>
      </w:r>
    </w:p>
    <w:tbl>
      <w:tblPr>
        <w:tblStyle w:val="19"/>
        <w:tblpPr w:leftFromText="180" w:rightFromText="180" w:vertAnchor="text" w:horzAnchor="page" w:tblpX="260" w:tblpY="1709"/>
        <w:tblOverlap w:val="never"/>
        <w:tblW w:w="16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0"/>
        <w:gridCol w:w="1470"/>
        <w:gridCol w:w="870"/>
        <w:gridCol w:w="645"/>
        <w:gridCol w:w="600"/>
        <w:gridCol w:w="555"/>
        <w:gridCol w:w="660"/>
        <w:gridCol w:w="870"/>
        <w:gridCol w:w="588"/>
        <w:gridCol w:w="283"/>
        <w:gridCol w:w="284"/>
        <w:gridCol w:w="465"/>
        <w:gridCol w:w="420"/>
        <w:gridCol w:w="405"/>
        <w:gridCol w:w="390"/>
        <w:gridCol w:w="450"/>
        <w:gridCol w:w="810"/>
        <w:gridCol w:w="600"/>
        <w:gridCol w:w="600"/>
        <w:gridCol w:w="660"/>
        <w:gridCol w:w="555"/>
        <w:gridCol w:w="495"/>
        <w:gridCol w:w="525"/>
        <w:gridCol w:w="690"/>
        <w:gridCol w:w="510"/>
        <w:gridCol w:w="66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450" w:type="dxa"/>
            <w:vMerge w:val="restart"/>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序号</w:t>
            </w:r>
          </w:p>
        </w:tc>
        <w:tc>
          <w:tcPr>
            <w:tcW w:w="2340" w:type="dxa"/>
            <w:gridSpan w:val="2"/>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审批事项</w:t>
            </w:r>
          </w:p>
        </w:tc>
        <w:tc>
          <w:tcPr>
            <w:tcW w:w="645" w:type="dxa"/>
            <w:vMerge w:val="restart"/>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是否进驻一体化政务服务平台</w:t>
            </w:r>
          </w:p>
        </w:tc>
        <w:tc>
          <w:tcPr>
            <w:tcW w:w="600" w:type="dxa"/>
            <w:vMerge w:val="restart"/>
            <w:noWrap w:val="0"/>
            <w:vAlign w:val="top"/>
          </w:tcPr>
          <w:p>
            <w:pPr>
              <w:spacing w:line="240" w:lineRule="exact"/>
              <w:jc w:val="center"/>
              <w:rPr>
                <w:rFonts w:hint="default" w:ascii="Times New Roman" w:hAnsi="Times New Roman" w:eastAsia="宋体" w:cs="Times New Roman"/>
                <w:spacing w:val="-6"/>
                <w:sz w:val="18"/>
                <w:szCs w:val="18"/>
              </w:rPr>
            </w:pPr>
          </w:p>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是否全流程使用一体化政务服务平台</w:t>
            </w:r>
          </w:p>
        </w:tc>
        <w:tc>
          <w:tcPr>
            <w:tcW w:w="555" w:type="dxa"/>
            <w:vMerge w:val="restart"/>
            <w:noWrap w:val="0"/>
            <w:vAlign w:val="top"/>
          </w:tcPr>
          <w:p>
            <w:pPr>
              <w:spacing w:line="240" w:lineRule="exact"/>
              <w:jc w:val="center"/>
              <w:rPr>
                <w:rFonts w:hint="default" w:ascii="Times New Roman" w:hAnsi="Times New Roman" w:eastAsia="宋体" w:cs="Times New Roman"/>
                <w:spacing w:val="-6"/>
                <w:sz w:val="18"/>
                <w:szCs w:val="18"/>
              </w:rPr>
            </w:pPr>
          </w:p>
          <w:p>
            <w:pPr>
              <w:spacing w:line="240" w:lineRule="exact"/>
              <w:jc w:val="center"/>
              <w:rPr>
                <w:rFonts w:hint="default" w:ascii="Times New Roman" w:hAnsi="Times New Roman" w:eastAsia="宋体" w:cs="Times New Roman"/>
                <w:spacing w:val="-6"/>
                <w:sz w:val="18"/>
                <w:szCs w:val="18"/>
              </w:rPr>
            </w:pPr>
          </w:p>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是否委托下放</w:t>
            </w:r>
          </w:p>
        </w:tc>
        <w:tc>
          <w:tcPr>
            <w:tcW w:w="660" w:type="dxa"/>
            <w:vMerge w:val="restart"/>
            <w:noWrap w:val="0"/>
            <w:vAlign w:val="top"/>
          </w:tcPr>
          <w:p>
            <w:pPr>
              <w:spacing w:line="240" w:lineRule="exact"/>
              <w:jc w:val="center"/>
              <w:rPr>
                <w:rFonts w:hint="default" w:ascii="Times New Roman" w:hAnsi="Times New Roman" w:eastAsia="宋体" w:cs="Times New Roman"/>
                <w:spacing w:val="-6"/>
                <w:sz w:val="18"/>
                <w:szCs w:val="18"/>
              </w:rPr>
            </w:pPr>
          </w:p>
          <w:p>
            <w:pPr>
              <w:spacing w:line="240" w:lineRule="exact"/>
              <w:jc w:val="center"/>
              <w:rPr>
                <w:rFonts w:hint="default" w:ascii="Times New Roman" w:hAnsi="Times New Roman" w:eastAsia="宋体" w:cs="Times New Roman"/>
                <w:spacing w:val="-6"/>
                <w:sz w:val="18"/>
                <w:szCs w:val="18"/>
              </w:rPr>
            </w:pPr>
          </w:p>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是否纳入综合窗口办理</w:t>
            </w:r>
          </w:p>
        </w:tc>
        <w:tc>
          <w:tcPr>
            <w:tcW w:w="3315" w:type="dxa"/>
            <w:gridSpan w:val="7"/>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全年业务量（件）</w:t>
            </w:r>
          </w:p>
        </w:tc>
        <w:tc>
          <w:tcPr>
            <w:tcW w:w="2850" w:type="dxa"/>
            <w:gridSpan w:val="5"/>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实施过程</w:t>
            </w:r>
          </w:p>
        </w:tc>
        <w:tc>
          <w:tcPr>
            <w:tcW w:w="4095" w:type="dxa"/>
            <w:gridSpan w:val="7"/>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监督管理</w:t>
            </w:r>
          </w:p>
        </w:tc>
        <w:tc>
          <w:tcPr>
            <w:tcW w:w="63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0" w:type="dxa"/>
            <w:vMerge w:val="continue"/>
            <w:noWrap w:val="0"/>
            <w:vAlign w:val="center"/>
          </w:tcPr>
          <w:p>
            <w:pPr>
              <w:spacing w:line="240" w:lineRule="exact"/>
              <w:jc w:val="center"/>
              <w:rPr>
                <w:rFonts w:hint="default" w:ascii="Times New Roman" w:hAnsi="Times New Roman" w:eastAsia="宋体" w:cs="Times New Roman"/>
                <w:spacing w:val="-6"/>
                <w:sz w:val="16"/>
                <w:szCs w:val="16"/>
              </w:rPr>
            </w:pPr>
          </w:p>
        </w:tc>
        <w:tc>
          <w:tcPr>
            <w:tcW w:w="147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实施清单</w:t>
            </w:r>
          </w:p>
        </w:tc>
        <w:tc>
          <w:tcPr>
            <w:tcW w:w="87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实施编码</w:t>
            </w:r>
          </w:p>
        </w:tc>
        <w:tc>
          <w:tcPr>
            <w:tcW w:w="645" w:type="dxa"/>
            <w:vMerge w:val="continue"/>
            <w:noWrap w:val="0"/>
            <w:vAlign w:val="center"/>
          </w:tcPr>
          <w:p>
            <w:pPr>
              <w:spacing w:line="240" w:lineRule="exact"/>
              <w:jc w:val="center"/>
              <w:rPr>
                <w:rFonts w:hint="default" w:ascii="Times New Roman" w:hAnsi="Times New Roman" w:eastAsia="宋体" w:cs="Times New Roman"/>
                <w:spacing w:val="-6"/>
                <w:sz w:val="18"/>
                <w:szCs w:val="18"/>
              </w:rPr>
            </w:pPr>
          </w:p>
        </w:tc>
        <w:tc>
          <w:tcPr>
            <w:tcW w:w="600" w:type="dxa"/>
            <w:vMerge w:val="continue"/>
            <w:noWrap w:val="0"/>
            <w:vAlign w:val="top"/>
          </w:tcPr>
          <w:p>
            <w:pPr>
              <w:spacing w:line="240" w:lineRule="exact"/>
              <w:jc w:val="center"/>
              <w:rPr>
                <w:rFonts w:hint="default" w:ascii="Times New Roman" w:hAnsi="Times New Roman" w:eastAsia="宋体" w:cs="Times New Roman"/>
                <w:spacing w:val="-6"/>
                <w:sz w:val="18"/>
                <w:szCs w:val="18"/>
              </w:rPr>
            </w:pPr>
          </w:p>
        </w:tc>
        <w:tc>
          <w:tcPr>
            <w:tcW w:w="555" w:type="dxa"/>
            <w:vMerge w:val="continue"/>
            <w:noWrap w:val="0"/>
            <w:vAlign w:val="top"/>
          </w:tcPr>
          <w:p>
            <w:pPr>
              <w:spacing w:line="240" w:lineRule="exact"/>
              <w:jc w:val="center"/>
              <w:rPr>
                <w:rFonts w:hint="default" w:ascii="Times New Roman" w:hAnsi="Times New Roman" w:eastAsia="宋体" w:cs="Times New Roman"/>
                <w:spacing w:val="-6"/>
                <w:sz w:val="18"/>
                <w:szCs w:val="18"/>
              </w:rPr>
            </w:pPr>
          </w:p>
        </w:tc>
        <w:tc>
          <w:tcPr>
            <w:tcW w:w="660" w:type="dxa"/>
            <w:vMerge w:val="continue"/>
            <w:noWrap w:val="0"/>
            <w:vAlign w:val="top"/>
          </w:tcPr>
          <w:p>
            <w:pPr>
              <w:spacing w:line="240" w:lineRule="exact"/>
              <w:jc w:val="center"/>
              <w:rPr>
                <w:rFonts w:hint="default" w:ascii="Times New Roman" w:hAnsi="Times New Roman" w:eastAsia="宋体" w:cs="Times New Roman"/>
                <w:spacing w:val="-6"/>
                <w:sz w:val="18"/>
                <w:szCs w:val="18"/>
              </w:rPr>
            </w:pPr>
          </w:p>
        </w:tc>
        <w:tc>
          <w:tcPr>
            <w:tcW w:w="87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申请量</w:t>
            </w:r>
          </w:p>
        </w:tc>
        <w:tc>
          <w:tcPr>
            <w:tcW w:w="588"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受理量</w:t>
            </w:r>
          </w:p>
        </w:tc>
        <w:tc>
          <w:tcPr>
            <w:tcW w:w="283"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不受理量</w:t>
            </w:r>
          </w:p>
        </w:tc>
        <w:tc>
          <w:tcPr>
            <w:tcW w:w="284"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办结量</w:t>
            </w:r>
          </w:p>
        </w:tc>
        <w:tc>
          <w:tcPr>
            <w:tcW w:w="465"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审批同意量</w:t>
            </w:r>
          </w:p>
        </w:tc>
        <w:tc>
          <w:tcPr>
            <w:tcW w:w="42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审批不同意量</w:t>
            </w:r>
          </w:p>
        </w:tc>
        <w:tc>
          <w:tcPr>
            <w:tcW w:w="405"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转报办结量</w:t>
            </w:r>
          </w:p>
        </w:tc>
        <w:tc>
          <w:tcPr>
            <w:tcW w:w="39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法定办结期限</w:t>
            </w:r>
          </w:p>
        </w:tc>
        <w:tc>
          <w:tcPr>
            <w:tcW w:w="45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承诺办结期限</w:t>
            </w:r>
          </w:p>
        </w:tc>
        <w:tc>
          <w:tcPr>
            <w:tcW w:w="81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实际平均办结时间</w:t>
            </w:r>
          </w:p>
        </w:tc>
        <w:tc>
          <w:tcPr>
            <w:tcW w:w="60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是否公开许可实施和结果等要素</w:t>
            </w:r>
          </w:p>
        </w:tc>
        <w:tc>
          <w:tcPr>
            <w:tcW w:w="60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是否公开办事指南</w:t>
            </w:r>
          </w:p>
        </w:tc>
        <w:tc>
          <w:tcPr>
            <w:tcW w:w="66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是否制定监管制度、标准</w:t>
            </w:r>
          </w:p>
        </w:tc>
        <w:tc>
          <w:tcPr>
            <w:tcW w:w="555"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监管制度是否有效实施</w:t>
            </w:r>
          </w:p>
        </w:tc>
        <w:tc>
          <w:tcPr>
            <w:tcW w:w="495"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监管覆盖率</w:t>
            </w:r>
          </w:p>
        </w:tc>
        <w:tc>
          <w:tcPr>
            <w:tcW w:w="525"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举报投诉件数</w:t>
            </w:r>
          </w:p>
        </w:tc>
        <w:tc>
          <w:tcPr>
            <w:tcW w:w="69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24小时内给予反馈的数量</w:t>
            </w:r>
          </w:p>
        </w:tc>
        <w:tc>
          <w:tcPr>
            <w:tcW w:w="51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调查处理并办结量</w:t>
            </w:r>
          </w:p>
        </w:tc>
        <w:tc>
          <w:tcPr>
            <w:tcW w:w="66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查处违法违规案件数量</w:t>
            </w:r>
          </w:p>
        </w:tc>
        <w:tc>
          <w:tcPr>
            <w:tcW w:w="630" w:type="dxa"/>
            <w:noWrap w:val="0"/>
            <w:vAlign w:val="center"/>
          </w:tcPr>
          <w:p>
            <w:pPr>
              <w:spacing w:line="240" w:lineRule="exact"/>
              <w:jc w:val="center"/>
              <w:rPr>
                <w:rFonts w:hint="default" w:ascii="Times New Roman" w:hAnsi="Times New Roman" w:eastAsia="宋体" w:cs="Times New Roman"/>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trPr>
        <w:tc>
          <w:tcPr>
            <w:tcW w:w="450" w:type="dxa"/>
            <w:noWrap w:val="0"/>
            <w:vAlign w:val="center"/>
          </w:tcPr>
          <w:p>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14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固定资产投资项目节能审查</w:t>
            </w:r>
          </w:p>
        </w:tc>
        <w:tc>
          <w:tcPr>
            <w:tcW w:w="8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11441900007330029A3440147008002</w:t>
            </w:r>
          </w:p>
        </w:tc>
        <w:tc>
          <w:tcPr>
            <w:tcW w:w="64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否</w:t>
            </w:r>
          </w:p>
        </w:tc>
        <w:tc>
          <w:tcPr>
            <w:tcW w:w="66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否</w:t>
            </w:r>
          </w:p>
        </w:tc>
        <w:tc>
          <w:tcPr>
            <w:tcW w:w="870" w:type="dxa"/>
            <w:noWrap w:val="0"/>
            <w:vAlign w:val="center"/>
          </w:tcPr>
          <w:p>
            <w:pPr>
              <w:spacing w:line="24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121</w:t>
            </w:r>
          </w:p>
        </w:tc>
        <w:tc>
          <w:tcPr>
            <w:tcW w:w="588" w:type="dxa"/>
            <w:noWrap w:val="0"/>
            <w:vAlign w:val="center"/>
          </w:tcPr>
          <w:p>
            <w:pPr>
              <w:spacing w:line="240" w:lineRule="exact"/>
              <w:jc w:val="center"/>
              <w:rPr>
                <w:rFonts w:hint="default" w:ascii="Times New Roman" w:hAnsi="Times New Roman" w:eastAsia="宋体" w:cs="Times New Roman"/>
                <w:sz w:val="16"/>
                <w:szCs w:val="16"/>
              </w:rPr>
            </w:pPr>
          </w:p>
        </w:tc>
        <w:tc>
          <w:tcPr>
            <w:tcW w:w="283" w:type="dxa"/>
            <w:noWrap w:val="0"/>
            <w:vAlign w:val="center"/>
          </w:tcPr>
          <w:p>
            <w:pPr>
              <w:spacing w:line="240" w:lineRule="exact"/>
              <w:jc w:val="center"/>
              <w:rPr>
                <w:rFonts w:hint="default" w:ascii="Times New Roman" w:hAnsi="Times New Roman" w:eastAsia="宋体" w:cs="Times New Roman"/>
                <w:sz w:val="16"/>
                <w:szCs w:val="16"/>
              </w:rPr>
            </w:pPr>
          </w:p>
        </w:tc>
        <w:tc>
          <w:tcPr>
            <w:tcW w:w="284" w:type="dxa"/>
            <w:noWrap w:val="0"/>
            <w:vAlign w:val="center"/>
          </w:tcPr>
          <w:p>
            <w:pPr>
              <w:spacing w:line="240" w:lineRule="exact"/>
              <w:jc w:val="center"/>
              <w:rPr>
                <w:rFonts w:hint="default" w:ascii="Times New Roman" w:hAnsi="Times New Roman" w:eastAsia="宋体" w:cs="Times New Roman"/>
                <w:sz w:val="16"/>
                <w:szCs w:val="16"/>
              </w:rPr>
            </w:pPr>
          </w:p>
        </w:tc>
        <w:tc>
          <w:tcPr>
            <w:tcW w:w="465" w:type="dxa"/>
            <w:noWrap w:val="0"/>
            <w:vAlign w:val="center"/>
          </w:tcPr>
          <w:p>
            <w:pPr>
              <w:spacing w:line="240" w:lineRule="exact"/>
              <w:jc w:val="center"/>
              <w:rPr>
                <w:rFonts w:hint="default" w:ascii="Times New Roman" w:hAnsi="Times New Roman" w:eastAsia="宋体" w:cs="Times New Roman"/>
                <w:sz w:val="16"/>
                <w:szCs w:val="16"/>
              </w:rPr>
            </w:pPr>
          </w:p>
        </w:tc>
        <w:tc>
          <w:tcPr>
            <w:tcW w:w="420" w:type="dxa"/>
            <w:noWrap w:val="0"/>
            <w:vAlign w:val="center"/>
          </w:tcPr>
          <w:p>
            <w:pPr>
              <w:spacing w:line="240" w:lineRule="exact"/>
              <w:jc w:val="center"/>
              <w:rPr>
                <w:rFonts w:hint="default" w:ascii="Times New Roman" w:hAnsi="Times New Roman" w:eastAsia="宋体" w:cs="Times New Roman"/>
                <w:sz w:val="16"/>
                <w:szCs w:val="16"/>
              </w:rPr>
            </w:pPr>
          </w:p>
        </w:tc>
        <w:tc>
          <w:tcPr>
            <w:tcW w:w="405" w:type="dxa"/>
            <w:noWrap w:val="0"/>
            <w:vAlign w:val="center"/>
          </w:tcPr>
          <w:p>
            <w:pPr>
              <w:spacing w:line="240" w:lineRule="exact"/>
              <w:jc w:val="center"/>
              <w:rPr>
                <w:rFonts w:hint="default" w:ascii="Times New Roman" w:hAnsi="Times New Roman" w:eastAsia="宋体" w:cs="Times New Roman"/>
                <w:sz w:val="16"/>
                <w:szCs w:val="16"/>
              </w:rPr>
            </w:pPr>
          </w:p>
        </w:tc>
        <w:tc>
          <w:tcPr>
            <w:tcW w:w="39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20</w:t>
            </w:r>
          </w:p>
        </w:tc>
        <w:tc>
          <w:tcPr>
            <w:tcW w:w="45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w:t>
            </w:r>
          </w:p>
        </w:tc>
        <w:tc>
          <w:tcPr>
            <w:tcW w:w="81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ascii="Times New Roman" w:hAnsi="Times New Roman" w:eastAsia="宋体"/>
                <w:color w:val="auto"/>
                <w:sz w:val="16"/>
                <w:szCs w:val="16"/>
                <w:lang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ascii="Times New Roman" w:hAnsi="Times New Roman" w:eastAsia="宋体"/>
                <w:color w:val="auto"/>
                <w:sz w:val="16"/>
                <w:szCs w:val="16"/>
                <w:lang w:eastAsia="zh-CN"/>
              </w:rPr>
              <w:t>是</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ascii="Times New Roman" w:hAnsi="Times New Roman" w:eastAsia="宋体"/>
                <w:color w:val="auto"/>
                <w:sz w:val="16"/>
                <w:szCs w:val="16"/>
                <w:lang w:eastAsia="zh-CN"/>
              </w:rPr>
              <w:t>是</w:t>
            </w:r>
          </w:p>
        </w:tc>
        <w:tc>
          <w:tcPr>
            <w:tcW w:w="49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100%</w:t>
            </w:r>
          </w:p>
        </w:tc>
        <w:tc>
          <w:tcPr>
            <w:tcW w:w="52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ascii="Times New Roman" w:hAnsi="Times New Roman" w:eastAsia="宋体"/>
                <w:color w:val="auto"/>
                <w:sz w:val="16"/>
                <w:szCs w:val="16"/>
                <w:lang w:val="en-US" w:eastAsia="zh-CN"/>
              </w:rPr>
              <w:t>0</w:t>
            </w:r>
          </w:p>
        </w:tc>
        <w:tc>
          <w:tcPr>
            <w:tcW w:w="690" w:type="dxa"/>
            <w:noWrap w:val="0"/>
            <w:vAlign w:val="center"/>
          </w:tcPr>
          <w:p>
            <w:pPr>
              <w:spacing w:line="240" w:lineRule="exact"/>
              <w:jc w:val="center"/>
              <w:rPr>
                <w:rFonts w:hint="default" w:ascii="Times New Roman" w:hAnsi="Times New Roman" w:eastAsia="宋体" w:cs="Times New Roman"/>
                <w:sz w:val="16"/>
                <w:szCs w:val="16"/>
              </w:rPr>
            </w:pPr>
            <w:r>
              <w:rPr>
                <w:rFonts w:hint="eastAsia" w:ascii="Times New Roman" w:hAnsi="Times New Roman" w:eastAsia="宋体"/>
                <w:color w:val="auto"/>
                <w:sz w:val="16"/>
                <w:szCs w:val="16"/>
                <w:lang w:val="en-US" w:eastAsia="zh-CN"/>
              </w:rPr>
              <w:t>0</w:t>
            </w:r>
          </w:p>
        </w:tc>
        <w:tc>
          <w:tcPr>
            <w:tcW w:w="510" w:type="dxa"/>
            <w:noWrap w:val="0"/>
            <w:vAlign w:val="center"/>
          </w:tcPr>
          <w:p>
            <w:pPr>
              <w:spacing w:line="240" w:lineRule="exact"/>
              <w:jc w:val="center"/>
              <w:rPr>
                <w:rFonts w:hint="eastAsia"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w:t>
            </w:r>
          </w:p>
        </w:tc>
        <w:tc>
          <w:tcPr>
            <w:tcW w:w="66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30" w:type="dxa"/>
            <w:noWrap w:val="0"/>
            <w:vAlign w:val="center"/>
          </w:tcPr>
          <w:p>
            <w:pPr>
              <w:spacing w:line="240" w:lineRule="exact"/>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 w:type="dxa"/>
            <w:noWrap w:val="0"/>
            <w:vAlign w:val="center"/>
          </w:tcPr>
          <w:p>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4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企业投资项目核准</w:t>
            </w:r>
          </w:p>
        </w:tc>
        <w:tc>
          <w:tcPr>
            <w:tcW w:w="8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11441900007330029A3440101003001</w:t>
            </w:r>
          </w:p>
        </w:tc>
        <w:tc>
          <w:tcPr>
            <w:tcW w:w="64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否</w:t>
            </w:r>
          </w:p>
        </w:tc>
        <w:tc>
          <w:tcPr>
            <w:tcW w:w="870" w:type="dxa"/>
            <w:noWrap w:val="0"/>
            <w:vAlign w:val="center"/>
          </w:tcPr>
          <w:p>
            <w:pPr>
              <w:spacing w:line="24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34</w:t>
            </w:r>
          </w:p>
        </w:tc>
        <w:tc>
          <w:tcPr>
            <w:tcW w:w="588" w:type="dxa"/>
            <w:noWrap w:val="0"/>
            <w:vAlign w:val="center"/>
          </w:tcPr>
          <w:p>
            <w:pPr>
              <w:spacing w:line="240" w:lineRule="exact"/>
              <w:jc w:val="center"/>
              <w:rPr>
                <w:rFonts w:hint="default" w:ascii="Times New Roman" w:hAnsi="Times New Roman" w:eastAsia="宋体" w:cs="Times New Roman"/>
                <w:sz w:val="16"/>
                <w:szCs w:val="16"/>
              </w:rPr>
            </w:pPr>
          </w:p>
        </w:tc>
        <w:tc>
          <w:tcPr>
            <w:tcW w:w="283" w:type="dxa"/>
            <w:noWrap w:val="0"/>
            <w:vAlign w:val="center"/>
          </w:tcPr>
          <w:p>
            <w:pPr>
              <w:spacing w:line="240" w:lineRule="exact"/>
              <w:jc w:val="center"/>
              <w:rPr>
                <w:rFonts w:hint="default" w:ascii="Times New Roman" w:hAnsi="Times New Roman" w:eastAsia="宋体" w:cs="Times New Roman"/>
                <w:sz w:val="16"/>
                <w:szCs w:val="16"/>
              </w:rPr>
            </w:pPr>
          </w:p>
        </w:tc>
        <w:tc>
          <w:tcPr>
            <w:tcW w:w="284" w:type="dxa"/>
            <w:noWrap w:val="0"/>
            <w:vAlign w:val="center"/>
          </w:tcPr>
          <w:p>
            <w:pPr>
              <w:spacing w:line="240" w:lineRule="exact"/>
              <w:jc w:val="center"/>
              <w:rPr>
                <w:rFonts w:hint="default" w:ascii="Times New Roman" w:hAnsi="Times New Roman" w:eastAsia="宋体" w:cs="Times New Roman"/>
                <w:sz w:val="16"/>
                <w:szCs w:val="16"/>
              </w:rPr>
            </w:pPr>
          </w:p>
        </w:tc>
        <w:tc>
          <w:tcPr>
            <w:tcW w:w="465" w:type="dxa"/>
            <w:noWrap w:val="0"/>
            <w:vAlign w:val="center"/>
          </w:tcPr>
          <w:p>
            <w:pPr>
              <w:spacing w:line="240" w:lineRule="exact"/>
              <w:jc w:val="center"/>
              <w:rPr>
                <w:rFonts w:hint="default" w:ascii="Times New Roman" w:hAnsi="Times New Roman" w:eastAsia="宋体" w:cs="Times New Roman"/>
                <w:sz w:val="16"/>
                <w:szCs w:val="16"/>
              </w:rPr>
            </w:pPr>
          </w:p>
        </w:tc>
        <w:tc>
          <w:tcPr>
            <w:tcW w:w="420" w:type="dxa"/>
            <w:noWrap w:val="0"/>
            <w:vAlign w:val="center"/>
          </w:tcPr>
          <w:p>
            <w:pPr>
              <w:spacing w:line="240" w:lineRule="exact"/>
              <w:jc w:val="center"/>
              <w:rPr>
                <w:rFonts w:hint="default" w:ascii="Times New Roman" w:hAnsi="Times New Roman" w:eastAsia="宋体" w:cs="Times New Roman"/>
                <w:sz w:val="16"/>
                <w:szCs w:val="16"/>
              </w:rPr>
            </w:pPr>
          </w:p>
        </w:tc>
        <w:tc>
          <w:tcPr>
            <w:tcW w:w="405" w:type="dxa"/>
            <w:noWrap w:val="0"/>
            <w:vAlign w:val="center"/>
          </w:tcPr>
          <w:p>
            <w:pPr>
              <w:spacing w:line="240" w:lineRule="exact"/>
              <w:jc w:val="center"/>
              <w:rPr>
                <w:rFonts w:hint="default" w:ascii="Times New Roman" w:hAnsi="Times New Roman" w:eastAsia="宋体" w:cs="Times New Roman"/>
                <w:sz w:val="16"/>
                <w:szCs w:val="16"/>
              </w:rPr>
            </w:pPr>
          </w:p>
        </w:tc>
        <w:tc>
          <w:tcPr>
            <w:tcW w:w="39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60</w:t>
            </w:r>
          </w:p>
        </w:tc>
        <w:tc>
          <w:tcPr>
            <w:tcW w:w="45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1</w:t>
            </w:r>
          </w:p>
        </w:tc>
        <w:tc>
          <w:tcPr>
            <w:tcW w:w="81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1（不含委托评估、专家评议、批前公示等耗时）</w:t>
            </w:r>
          </w:p>
        </w:tc>
        <w:tc>
          <w:tcPr>
            <w:tcW w:w="60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66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49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100%</w:t>
            </w:r>
          </w:p>
        </w:tc>
        <w:tc>
          <w:tcPr>
            <w:tcW w:w="52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0</w:t>
            </w:r>
          </w:p>
        </w:tc>
        <w:tc>
          <w:tcPr>
            <w:tcW w:w="69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0</w:t>
            </w:r>
          </w:p>
        </w:tc>
        <w:tc>
          <w:tcPr>
            <w:tcW w:w="51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6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30" w:type="dxa"/>
            <w:noWrap w:val="0"/>
            <w:vAlign w:val="center"/>
          </w:tcPr>
          <w:p>
            <w:pPr>
              <w:spacing w:line="240" w:lineRule="exact"/>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450" w:type="dxa"/>
            <w:noWrap w:val="0"/>
            <w:vAlign w:val="center"/>
          </w:tcPr>
          <w:p>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14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ascii="宋体" w:hAnsi="宋体" w:eastAsia="宋体" w:cs="宋体"/>
                <w:color w:val="auto"/>
                <w:sz w:val="16"/>
                <w:szCs w:val="16"/>
                <w:highlight w:val="none"/>
                <w:shd w:val="clear" w:color="auto" w:fill="auto"/>
              </w:rPr>
              <w:t>需要履行项目核准手续的依法必须招标</w:t>
            </w:r>
            <w:r>
              <w:rPr>
                <w:rFonts w:hint="eastAsia" w:ascii="宋体" w:hAnsi="宋体" w:eastAsia="宋体" w:cs="宋体"/>
                <w:color w:val="auto"/>
                <w:sz w:val="16"/>
                <w:szCs w:val="16"/>
                <w:highlight w:val="none"/>
                <w:shd w:val="clear" w:color="auto" w:fill="auto"/>
                <w:lang w:val="en-US" w:eastAsia="zh-CN"/>
              </w:rPr>
              <w:t>的勘察、设计、监理等工程有关的服务招标范围、招标方式和招标组织形式的提前单独核准</w:t>
            </w:r>
          </w:p>
        </w:tc>
        <w:tc>
          <w:tcPr>
            <w:tcW w:w="8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11441900007330029A3440101001001</w:t>
            </w:r>
          </w:p>
        </w:tc>
        <w:tc>
          <w:tcPr>
            <w:tcW w:w="64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否</w:t>
            </w:r>
          </w:p>
        </w:tc>
        <w:tc>
          <w:tcPr>
            <w:tcW w:w="870" w:type="dxa"/>
            <w:noWrap w:val="0"/>
            <w:vAlign w:val="center"/>
          </w:tcPr>
          <w:p>
            <w:pPr>
              <w:spacing w:line="24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742</w:t>
            </w:r>
          </w:p>
        </w:tc>
        <w:tc>
          <w:tcPr>
            <w:tcW w:w="588" w:type="dxa"/>
            <w:noWrap w:val="0"/>
            <w:vAlign w:val="center"/>
          </w:tcPr>
          <w:p>
            <w:pPr>
              <w:spacing w:line="240" w:lineRule="exact"/>
              <w:jc w:val="center"/>
              <w:rPr>
                <w:rFonts w:hint="default" w:ascii="Times New Roman" w:hAnsi="Times New Roman" w:eastAsia="宋体" w:cs="Times New Roman"/>
                <w:sz w:val="16"/>
                <w:szCs w:val="16"/>
              </w:rPr>
            </w:pPr>
          </w:p>
        </w:tc>
        <w:tc>
          <w:tcPr>
            <w:tcW w:w="283" w:type="dxa"/>
            <w:noWrap w:val="0"/>
            <w:vAlign w:val="center"/>
          </w:tcPr>
          <w:p>
            <w:pPr>
              <w:spacing w:line="240" w:lineRule="exact"/>
              <w:jc w:val="center"/>
              <w:rPr>
                <w:rFonts w:hint="default" w:ascii="Times New Roman" w:hAnsi="Times New Roman" w:eastAsia="宋体" w:cs="Times New Roman"/>
                <w:sz w:val="16"/>
                <w:szCs w:val="16"/>
              </w:rPr>
            </w:pPr>
          </w:p>
        </w:tc>
        <w:tc>
          <w:tcPr>
            <w:tcW w:w="284" w:type="dxa"/>
            <w:noWrap w:val="0"/>
            <w:vAlign w:val="center"/>
          </w:tcPr>
          <w:p>
            <w:pPr>
              <w:spacing w:line="240" w:lineRule="exact"/>
              <w:jc w:val="center"/>
              <w:rPr>
                <w:rFonts w:hint="default" w:ascii="Times New Roman" w:hAnsi="Times New Roman" w:eastAsia="宋体" w:cs="Times New Roman"/>
                <w:sz w:val="16"/>
                <w:szCs w:val="16"/>
              </w:rPr>
            </w:pPr>
          </w:p>
        </w:tc>
        <w:tc>
          <w:tcPr>
            <w:tcW w:w="465" w:type="dxa"/>
            <w:noWrap w:val="0"/>
            <w:vAlign w:val="center"/>
          </w:tcPr>
          <w:p>
            <w:pPr>
              <w:spacing w:line="240" w:lineRule="exact"/>
              <w:jc w:val="center"/>
              <w:rPr>
                <w:rFonts w:hint="default" w:ascii="Times New Roman" w:hAnsi="Times New Roman" w:eastAsia="宋体" w:cs="Times New Roman"/>
                <w:sz w:val="16"/>
                <w:szCs w:val="16"/>
              </w:rPr>
            </w:pPr>
          </w:p>
        </w:tc>
        <w:tc>
          <w:tcPr>
            <w:tcW w:w="420" w:type="dxa"/>
            <w:noWrap w:val="0"/>
            <w:vAlign w:val="center"/>
          </w:tcPr>
          <w:p>
            <w:pPr>
              <w:spacing w:line="240" w:lineRule="exact"/>
              <w:jc w:val="center"/>
              <w:rPr>
                <w:rFonts w:hint="default" w:ascii="Times New Roman" w:hAnsi="Times New Roman" w:eastAsia="宋体" w:cs="Times New Roman"/>
                <w:sz w:val="16"/>
                <w:szCs w:val="16"/>
              </w:rPr>
            </w:pPr>
          </w:p>
        </w:tc>
        <w:tc>
          <w:tcPr>
            <w:tcW w:w="405" w:type="dxa"/>
            <w:noWrap w:val="0"/>
            <w:vAlign w:val="center"/>
          </w:tcPr>
          <w:p>
            <w:pPr>
              <w:spacing w:line="240" w:lineRule="exact"/>
              <w:jc w:val="center"/>
              <w:rPr>
                <w:rFonts w:hint="default" w:ascii="Times New Roman" w:hAnsi="Times New Roman" w:eastAsia="宋体" w:cs="Times New Roman"/>
                <w:sz w:val="16"/>
                <w:szCs w:val="16"/>
              </w:rPr>
            </w:pPr>
          </w:p>
        </w:tc>
        <w:tc>
          <w:tcPr>
            <w:tcW w:w="39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20</w:t>
            </w:r>
          </w:p>
        </w:tc>
        <w:tc>
          <w:tcPr>
            <w:tcW w:w="45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w:t>
            </w:r>
          </w:p>
        </w:tc>
        <w:tc>
          <w:tcPr>
            <w:tcW w:w="81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rPr>
              <w:t>1（不含委托评估、专家评议、批前公示等耗时）</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49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100%</w:t>
            </w:r>
          </w:p>
        </w:tc>
        <w:tc>
          <w:tcPr>
            <w:tcW w:w="52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0</w:t>
            </w:r>
          </w:p>
        </w:tc>
        <w:tc>
          <w:tcPr>
            <w:tcW w:w="69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0</w:t>
            </w:r>
          </w:p>
        </w:tc>
        <w:tc>
          <w:tcPr>
            <w:tcW w:w="51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6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30" w:type="dxa"/>
            <w:noWrap w:val="0"/>
            <w:vAlign w:val="center"/>
          </w:tcPr>
          <w:p>
            <w:pPr>
              <w:spacing w:line="240" w:lineRule="exact"/>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trPr>
        <w:tc>
          <w:tcPr>
            <w:tcW w:w="450" w:type="dxa"/>
            <w:noWrap w:val="0"/>
            <w:vAlign w:val="center"/>
          </w:tcPr>
          <w:p>
            <w:pPr>
              <w:spacing w:line="240" w:lineRule="exact"/>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4</w:t>
            </w:r>
          </w:p>
        </w:tc>
        <w:tc>
          <w:tcPr>
            <w:tcW w:w="14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ascii="宋体" w:hAnsi="宋体" w:eastAsia="宋体" w:cs="宋体"/>
                <w:b w:val="0"/>
                <w:bCs w:val="0"/>
                <w:color w:val="auto"/>
                <w:sz w:val="16"/>
                <w:szCs w:val="16"/>
                <w:highlight w:val="none"/>
                <w:shd w:val="clear" w:color="auto" w:fill="auto"/>
              </w:rPr>
              <w:t>成品油零售经营资格审批</w:t>
            </w:r>
          </w:p>
        </w:tc>
        <w:tc>
          <w:tcPr>
            <w:tcW w:w="8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ascii="华文楷体" w:hAnsi="华文楷体" w:eastAsia="华文楷体" w:cs="华文楷体"/>
                <w:i w:val="0"/>
                <w:iCs w:val="0"/>
                <w:caps w:val="0"/>
                <w:color w:val="auto"/>
                <w:spacing w:val="0"/>
                <w:sz w:val="16"/>
                <w:szCs w:val="16"/>
              </w:rPr>
              <w:t>11441900007330029A3440147002002</w:t>
            </w:r>
          </w:p>
        </w:tc>
        <w:tc>
          <w:tcPr>
            <w:tcW w:w="64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否</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否</w:t>
            </w:r>
          </w:p>
        </w:tc>
        <w:tc>
          <w:tcPr>
            <w:tcW w:w="870" w:type="dxa"/>
            <w:noWrap w:val="0"/>
            <w:vAlign w:val="center"/>
          </w:tcPr>
          <w:p>
            <w:pPr>
              <w:spacing w:line="24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278</w:t>
            </w:r>
          </w:p>
        </w:tc>
        <w:tc>
          <w:tcPr>
            <w:tcW w:w="588" w:type="dxa"/>
            <w:noWrap w:val="0"/>
            <w:vAlign w:val="center"/>
          </w:tcPr>
          <w:p>
            <w:pPr>
              <w:spacing w:line="240" w:lineRule="exact"/>
              <w:jc w:val="center"/>
              <w:rPr>
                <w:rFonts w:hint="default" w:ascii="Times New Roman" w:hAnsi="Times New Roman" w:eastAsia="宋体" w:cs="Times New Roman"/>
                <w:sz w:val="16"/>
                <w:szCs w:val="16"/>
              </w:rPr>
            </w:pPr>
          </w:p>
        </w:tc>
        <w:tc>
          <w:tcPr>
            <w:tcW w:w="283" w:type="dxa"/>
            <w:noWrap w:val="0"/>
            <w:vAlign w:val="center"/>
          </w:tcPr>
          <w:p>
            <w:pPr>
              <w:spacing w:line="240" w:lineRule="exact"/>
              <w:jc w:val="center"/>
              <w:rPr>
                <w:rFonts w:hint="default" w:ascii="Times New Roman" w:hAnsi="Times New Roman" w:eastAsia="宋体" w:cs="Times New Roman"/>
                <w:sz w:val="16"/>
                <w:szCs w:val="16"/>
              </w:rPr>
            </w:pPr>
          </w:p>
        </w:tc>
        <w:tc>
          <w:tcPr>
            <w:tcW w:w="284" w:type="dxa"/>
            <w:noWrap w:val="0"/>
            <w:vAlign w:val="center"/>
          </w:tcPr>
          <w:p>
            <w:pPr>
              <w:spacing w:line="240" w:lineRule="exact"/>
              <w:jc w:val="center"/>
              <w:rPr>
                <w:rFonts w:hint="default" w:ascii="Times New Roman" w:hAnsi="Times New Roman" w:eastAsia="宋体" w:cs="Times New Roman"/>
                <w:sz w:val="16"/>
                <w:szCs w:val="16"/>
              </w:rPr>
            </w:pPr>
          </w:p>
        </w:tc>
        <w:tc>
          <w:tcPr>
            <w:tcW w:w="465" w:type="dxa"/>
            <w:noWrap w:val="0"/>
            <w:vAlign w:val="center"/>
          </w:tcPr>
          <w:p>
            <w:pPr>
              <w:spacing w:line="240" w:lineRule="exact"/>
              <w:jc w:val="center"/>
              <w:rPr>
                <w:rFonts w:hint="default" w:ascii="Times New Roman" w:hAnsi="Times New Roman" w:eastAsia="宋体" w:cs="Times New Roman"/>
                <w:sz w:val="16"/>
                <w:szCs w:val="16"/>
              </w:rPr>
            </w:pPr>
          </w:p>
        </w:tc>
        <w:tc>
          <w:tcPr>
            <w:tcW w:w="420" w:type="dxa"/>
            <w:noWrap w:val="0"/>
            <w:vAlign w:val="center"/>
          </w:tcPr>
          <w:p>
            <w:pPr>
              <w:spacing w:line="240" w:lineRule="exact"/>
              <w:jc w:val="center"/>
              <w:rPr>
                <w:rFonts w:hint="default" w:ascii="Times New Roman" w:hAnsi="Times New Roman" w:eastAsia="宋体" w:cs="Times New Roman"/>
                <w:sz w:val="16"/>
                <w:szCs w:val="16"/>
              </w:rPr>
            </w:pPr>
          </w:p>
        </w:tc>
        <w:tc>
          <w:tcPr>
            <w:tcW w:w="405" w:type="dxa"/>
            <w:noWrap w:val="0"/>
            <w:vAlign w:val="center"/>
          </w:tcPr>
          <w:p>
            <w:pPr>
              <w:spacing w:line="240" w:lineRule="exact"/>
              <w:jc w:val="center"/>
              <w:rPr>
                <w:rFonts w:hint="default" w:ascii="Times New Roman" w:hAnsi="Times New Roman" w:eastAsia="宋体" w:cs="Times New Roman"/>
                <w:sz w:val="16"/>
                <w:szCs w:val="16"/>
              </w:rPr>
            </w:pPr>
          </w:p>
        </w:tc>
        <w:tc>
          <w:tcPr>
            <w:tcW w:w="39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20</w:t>
            </w:r>
          </w:p>
        </w:tc>
        <w:tc>
          <w:tcPr>
            <w:tcW w:w="45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7</w:t>
            </w:r>
          </w:p>
        </w:tc>
        <w:tc>
          <w:tcPr>
            <w:tcW w:w="81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5</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49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100%</w:t>
            </w:r>
          </w:p>
        </w:tc>
        <w:tc>
          <w:tcPr>
            <w:tcW w:w="52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0</w:t>
            </w:r>
          </w:p>
        </w:tc>
        <w:tc>
          <w:tcPr>
            <w:tcW w:w="69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0</w:t>
            </w:r>
          </w:p>
        </w:tc>
        <w:tc>
          <w:tcPr>
            <w:tcW w:w="51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6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30" w:type="dxa"/>
            <w:noWrap w:val="0"/>
            <w:vAlign w:val="center"/>
          </w:tcPr>
          <w:p>
            <w:pPr>
              <w:spacing w:line="240" w:lineRule="exact"/>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450" w:type="dxa"/>
            <w:noWrap w:val="0"/>
            <w:vAlign w:val="center"/>
          </w:tcPr>
          <w:p>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1470" w:type="dxa"/>
            <w:noWrap w:val="0"/>
            <w:vAlign w:val="center"/>
          </w:tcPr>
          <w:p>
            <w:pPr>
              <w:spacing w:line="240" w:lineRule="exact"/>
              <w:jc w:val="center"/>
              <w:rPr>
                <w:rFonts w:hint="default" w:ascii="Times New Roman" w:hAnsi="Times New Roman" w:eastAsia="宋体" w:cs="Times New Roman"/>
                <w:sz w:val="16"/>
                <w:szCs w:val="16"/>
              </w:rPr>
            </w:pPr>
          </w:p>
        </w:tc>
        <w:tc>
          <w:tcPr>
            <w:tcW w:w="870" w:type="dxa"/>
            <w:noWrap w:val="0"/>
            <w:vAlign w:val="center"/>
          </w:tcPr>
          <w:p>
            <w:pPr>
              <w:spacing w:line="240" w:lineRule="exact"/>
              <w:jc w:val="center"/>
              <w:rPr>
                <w:rFonts w:hint="default" w:ascii="Times New Roman" w:hAnsi="Times New Roman" w:eastAsia="宋体" w:cs="Times New Roman"/>
                <w:sz w:val="16"/>
                <w:szCs w:val="16"/>
              </w:rPr>
            </w:pPr>
          </w:p>
        </w:tc>
        <w:tc>
          <w:tcPr>
            <w:tcW w:w="645" w:type="dxa"/>
            <w:noWrap w:val="0"/>
            <w:vAlign w:val="center"/>
          </w:tcPr>
          <w:p>
            <w:pPr>
              <w:spacing w:line="240" w:lineRule="exact"/>
              <w:jc w:val="center"/>
              <w:rPr>
                <w:rFonts w:hint="default" w:ascii="Times New Roman" w:hAnsi="Times New Roman" w:eastAsia="宋体" w:cs="Times New Roman"/>
                <w:sz w:val="16"/>
                <w:szCs w:val="16"/>
              </w:rPr>
            </w:pPr>
          </w:p>
        </w:tc>
        <w:tc>
          <w:tcPr>
            <w:tcW w:w="600" w:type="dxa"/>
            <w:noWrap w:val="0"/>
            <w:vAlign w:val="top"/>
          </w:tcPr>
          <w:p>
            <w:pPr>
              <w:spacing w:line="240" w:lineRule="exact"/>
              <w:jc w:val="center"/>
              <w:rPr>
                <w:rFonts w:hint="default" w:ascii="Times New Roman" w:hAnsi="Times New Roman" w:eastAsia="宋体" w:cs="Times New Roman"/>
                <w:sz w:val="16"/>
                <w:szCs w:val="16"/>
              </w:rPr>
            </w:pPr>
          </w:p>
        </w:tc>
        <w:tc>
          <w:tcPr>
            <w:tcW w:w="555" w:type="dxa"/>
            <w:noWrap w:val="0"/>
            <w:vAlign w:val="top"/>
          </w:tcPr>
          <w:p>
            <w:pPr>
              <w:spacing w:line="240" w:lineRule="exact"/>
              <w:jc w:val="center"/>
              <w:rPr>
                <w:rFonts w:hint="default" w:ascii="Times New Roman" w:hAnsi="Times New Roman" w:eastAsia="宋体" w:cs="Times New Roman"/>
                <w:sz w:val="16"/>
                <w:szCs w:val="16"/>
              </w:rPr>
            </w:pPr>
          </w:p>
        </w:tc>
        <w:tc>
          <w:tcPr>
            <w:tcW w:w="660" w:type="dxa"/>
            <w:noWrap w:val="0"/>
            <w:vAlign w:val="top"/>
          </w:tcPr>
          <w:p>
            <w:pPr>
              <w:spacing w:line="240" w:lineRule="exact"/>
              <w:jc w:val="center"/>
              <w:rPr>
                <w:rFonts w:hint="default" w:ascii="Times New Roman" w:hAnsi="Times New Roman" w:eastAsia="宋体" w:cs="Times New Roman"/>
                <w:sz w:val="16"/>
                <w:szCs w:val="16"/>
              </w:rPr>
            </w:pPr>
          </w:p>
        </w:tc>
        <w:tc>
          <w:tcPr>
            <w:tcW w:w="870" w:type="dxa"/>
            <w:noWrap w:val="0"/>
            <w:vAlign w:val="center"/>
          </w:tcPr>
          <w:p>
            <w:pPr>
              <w:spacing w:line="24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1175</w:t>
            </w:r>
          </w:p>
        </w:tc>
        <w:tc>
          <w:tcPr>
            <w:tcW w:w="588" w:type="dxa"/>
            <w:noWrap w:val="0"/>
            <w:vAlign w:val="center"/>
          </w:tcPr>
          <w:p>
            <w:pPr>
              <w:spacing w:line="240" w:lineRule="exact"/>
              <w:jc w:val="center"/>
              <w:rPr>
                <w:rFonts w:hint="default" w:ascii="Times New Roman" w:hAnsi="Times New Roman" w:eastAsia="宋体" w:cs="Times New Roman"/>
                <w:sz w:val="16"/>
                <w:szCs w:val="16"/>
              </w:rPr>
            </w:pPr>
          </w:p>
        </w:tc>
        <w:tc>
          <w:tcPr>
            <w:tcW w:w="283" w:type="dxa"/>
            <w:noWrap w:val="0"/>
            <w:vAlign w:val="center"/>
          </w:tcPr>
          <w:p>
            <w:pPr>
              <w:spacing w:line="240" w:lineRule="exact"/>
              <w:jc w:val="center"/>
              <w:rPr>
                <w:rFonts w:hint="default" w:ascii="Times New Roman" w:hAnsi="Times New Roman" w:eastAsia="宋体" w:cs="Times New Roman"/>
                <w:sz w:val="16"/>
                <w:szCs w:val="16"/>
              </w:rPr>
            </w:pPr>
          </w:p>
        </w:tc>
        <w:tc>
          <w:tcPr>
            <w:tcW w:w="284" w:type="dxa"/>
            <w:noWrap w:val="0"/>
            <w:vAlign w:val="center"/>
          </w:tcPr>
          <w:p>
            <w:pPr>
              <w:spacing w:line="240" w:lineRule="exact"/>
              <w:jc w:val="center"/>
              <w:rPr>
                <w:rFonts w:hint="default" w:ascii="Times New Roman" w:hAnsi="Times New Roman" w:eastAsia="宋体" w:cs="Times New Roman"/>
                <w:sz w:val="16"/>
                <w:szCs w:val="16"/>
              </w:rPr>
            </w:pPr>
          </w:p>
        </w:tc>
        <w:tc>
          <w:tcPr>
            <w:tcW w:w="465" w:type="dxa"/>
            <w:noWrap w:val="0"/>
            <w:vAlign w:val="center"/>
          </w:tcPr>
          <w:p>
            <w:pPr>
              <w:spacing w:line="240" w:lineRule="exact"/>
              <w:jc w:val="center"/>
              <w:rPr>
                <w:rFonts w:hint="default" w:ascii="Times New Roman" w:hAnsi="Times New Roman" w:eastAsia="宋体" w:cs="Times New Roman"/>
                <w:sz w:val="16"/>
                <w:szCs w:val="16"/>
              </w:rPr>
            </w:pPr>
          </w:p>
        </w:tc>
        <w:tc>
          <w:tcPr>
            <w:tcW w:w="420" w:type="dxa"/>
            <w:noWrap w:val="0"/>
            <w:vAlign w:val="center"/>
          </w:tcPr>
          <w:p>
            <w:pPr>
              <w:spacing w:line="240" w:lineRule="exact"/>
              <w:jc w:val="center"/>
              <w:rPr>
                <w:rFonts w:hint="default" w:ascii="Times New Roman" w:hAnsi="Times New Roman" w:eastAsia="宋体" w:cs="Times New Roman"/>
                <w:sz w:val="16"/>
                <w:szCs w:val="16"/>
              </w:rPr>
            </w:pPr>
          </w:p>
        </w:tc>
        <w:tc>
          <w:tcPr>
            <w:tcW w:w="405" w:type="dxa"/>
            <w:noWrap w:val="0"/>
            <w:vAlign w:val="center"/>
          </w:tcPr>
          <w:p>
            <w:pPr>
              <w:spacing w:line="240" w:lineRule="exact"/>
              <w:jc w:val="center"/>
              <w:rPr>
                <w:rFonts w:hint="default" w:ascii="Times New Roman" w:hAnsi="Times New Roman" w:eastAsia="宋体" w:cs="Times New Roman"/>
                <w:sz w:val="16"/>
                <w:szCs w:val="16"/>
              </w:rPr>
            </w:pPr>
          </w:p>
        </w:tc>
        <w:tc>
          <w:tcPr>
            <w:tcW w:w="390" w:type="dxa"/>
            <w:noWrap w:val="0"/>
            <w:vAlign w:val="center"/>
          </w:tcPr>
          <w:p>
            <w:pPr>
              <w:spacing w:line="240" w:lineRule="exact"/>
              <w:jc w:val="center"/>
              <w:rPr>
                <w:rFonts w:hint="default" w:ascii="Times New Roman" w:hAnsi="Times New Roman" w:eastAsia="宋体" w:cs="Times New Roman"/>
                <w:sz w:val="16"/>
                <w:szCs w:val="16"/>
              </w:rPr>
            </w:pPr>
          </w:p>
        </w:tc>
        <w:tc>
          <w:tcPr>
            <w:tcW w:w="450" w:type="dxa"/>
            <w:noWrap w:val="0"/>
            <w:vAlign w:val="center"/>
          </w:tcPr>
          <w:p>
            <w:pPr>
              <w:spacing w:line="240" w:lineRule="exact"/>
              <w:jc w:val="center"/>
              <w:rPr>
                <w:rFonts w:hint="default" w:ascii="Times New Roman" w:hAnsi="Times New Roman" w:eastAsia="宋体" w:cs="Times New Roman"/>
                <w:sz w:val="16"/>
                <w:szCs w:val="16"/>
              </w:rPr>
            </w:pPr>
          </w:p>
        </w:tc>
        <w:tc>
          <w:tcPr>
            <w:tcW w:w="810" w:type="dxa"/>
            <w:noWrap w:val="0"/>
            <w:vAlign w:val="center"/>
          </w:tcPr>
          <w:p>
            <w:pPr>
              <w:spacing w:line="240" w:lineRule="exact"/>
              <w:jc w:val="center"/>
              <w:rPr>
                <w:rFonts w:hint="default" w:ascii="Times New Roman" w:hAnsi="Times New Roman" w:eastAsia="宋体" w:cs="Times New Roman"/>
                <w:sz w:val="16"/>
                <w:szCs w:val="16"/>
              </w:rPr>
            </w:pPr>
          </w:p>
        </w:tc>
        <w:tc>
          <w:tcPr>
            <w:tcW w:w="600" w:type="dxa"/>
            <w:noWrap w:val="0"/>
            <w:vAlign w:val="center"/>
          </w:tcPr>
          <w:p>
            <w:pPr>
              <w:spacing w:line="240" w:lineRule="exact"/>
              <w:jc w:val="center"/>
              <w:rPr>
                <w:rFonts w:hint="default" w:ascii="Times New Roman" w:hAnsi="Times New Roman" w:eastAsia="宋体" w:cs="Times New Roman"/>
                <w:sz w:val="16"/>
                <w:szCs w:val="16"/>
              </w:rPr>
            </w:pPr>
          </w:p>
        </w:tc>
        <w:tc>
          <w:tcPr>
            <w:tcW w:w="600" w:type="dxa"/>
            <w:noWrap w:val="0"/>
            <w:vAlign w:val="center"/>
          </w:tcPr>
          <w:p>
            <w:pPr>
              <w:spacing w:line="240" w:lineRule="exact"/>
              <w:jc w:val="center"/>
              <w:rPr>
                <w:rFonts w:hint="default" w:ascii="Times New Roman" w:hAnsi="Times New Roman" w:eastAsia="宋体" w:cs="Times New Roman"/>
                <w:sz w:val="16"/>
                <w:szCs w:val="16"/>
              </w:rPr>
            </w:pPr>
          </w:p>
        </w:tc>
        <w:tc>
          <w:tcPr>
            <w:tcW w:w="660" w:type="dxa"/>
            <w:noWrap w:val="0"/>
            <w:vAlign w:val="center"/>
          </w:tcPr>
          <w:p>
            <w:pPr>
              <w:spacing w:line="240" w:lineRule="exact"/>
              <w:jc w:val="center"/>
              <w:rPr>
                <w:rFonts w:hint="default" w:ascii="Times New Roman" w:hAnsi="Times New Roman" w:eastAsia="宋体" w:cs="Times New Roman"/>
                <w:sz w:val="16"/>
                <w:szCs w:val="16"/>
              </w:rPr>
            </w:pPr>
          </w:p>
        </w:tc>
        <w:tc>
          <w:tcPr>
            <w:tcW w:w="555" w:type="dxa"/>
            <w:noWrap w:val="0"/>
            <w:vAlign w:val="center"/>
          </w:tcPr>
          <w:p>
            <w:pPr>
              <w:spacing w:line="240" w:lineRule="exact"/>
              <w:jc w:val="center"/>
              <w:rPr>
                <w:rFonts w:hint="default" w:ascii="Times New Roman" w:hAnsi="Times New Roman" w:eastAsia="宋体" w:cs="Times New Roman"/>
                <w:sz w:val="16"/>
                <w:szCs w:val="16"/>
              </w:rPr>
            </w:pPr>
          </w:p>
        </w:tc>
        <w:tc>
          <w:tcPr>
            <w:tcW w:w="495" w:type="dxa"/>
            <w:noWrap w:val="0"/>
            <w:vAlign w:val="center"/>
          </w:tcPr>
          <w:p>
            <w:pPr>
              <w:spacing w:line="240" w:lineRule="exact"/>
              <w:jc w:val="center"/>
              <w:rPr>
                <w:rFonts w:hint="default" w:ascii="Times New Roman" w:hAnsi="Times New Roman" w:eastAsia="宋体" w:cs="Times New Roman"/>
                <w:sz w:val="16"/>
                <w:szCs w:val="16"/>
              </w:rPr>
            </w:pPr>
          </w:p>
        </w:tc>
        <w:tc>
          <w:tcPr>
            <w:tcW w:w="525" w:type="dxa"/>
            <w:noWrap w:val="0"/>
            <w:vAlign w:val="center"/>
          </w:tcPr>
          <w:p>
            <w:pPr>
              <w:spacing w:line="240" w:lineRule="exact"/>
              <w:jc w:val="center"/>
              <w:rPr>
                <w:rFonts w:hint="default" w:ascii="Times New Roman" w:hAnsi="Times New Roman" w:eastAsia="宋体" w:cs="Times New Roman"/>
                <w:sz w:val="16"/>
                <w:szCs w:val="16"/>
              </w:rPr>
            </w:pPr>
          </w:p>
        </w:tc>
        <w:tc>
          <w:tcPr>
            <w:tcW w:w="690" w:type="dxa"/>
            <w:noWrap w:val="0"/>
            <w:vAlign w:val="center"/>
          </w:tcPr>
          <w:p>
            <w:pPr>
              <w:spacing w:line="240" w:lineRule="exact"/>
              <w:jc w:val="center"/>
              <w:rPr>
                <w:rFonts w:hint="default" w:ascii="Times New Roman" w:hAnsi="Times New Roman" w:eastAsia="宋体" w:cs="Times New Roman"/>
                <w:sz w:val="16"/>
                <w:szCs w:val="16"/>
              </w:rPr>
            </w:pPr>
          </w:p>
        </w:tc>
        <w:tc>
          <w:tcPr>
            <w:tcW w:w="510" w:type="dxa"/>
            <w:noWrap w:val="0"/>
            <w:vAlign w:val="center"/>
          </w:tcPr>
          <w:p>
            <w:pPr>
              <w:spacing w:line="240" w:lineRule="exact"/>
              <w:jc w:val="center"/>
              <w:rPr>
                <w:rFonts w:hint="default" w:ascii="Times New Roman" w:hAnsi="Times New Roman" w:eastAsia="宋体" w:cs="Times New Roman"/>
                <w:sz w:val="16"/>
                <w:szCs w:val="16"/>
              </w:rPr>
            </w:pPr>
          </w:p>
        </w:tc>
        <w:tc>
          <w:tcPr>
            <w:tcW w:w="660" w:type="dxa"/>
            <w:noWrap w:val="0"/>
            <w:vAlign w:val="center"/>
          </w:tcPr>
          <w:p>
            <w:pPr>
              <w:spacing w:line="240" w:lineRule="exact"/>
              <w:jc w:val="center"/>
              <w:rPr>
                <w:rFonts w:hint="default" w:ascii="Times New Roman" w:hAnsi="Times New Roman" w:eastAsia="宋体" w:cs="Times New Roman"/>
                <w:sz w:val="16"/>
                <w:szCs w:val="16"/>
              </w:rPr>
            </w:pPr>
          </w:p>
        </w:tc>
        <w:tc>
          <w:tcPr>
            <w:tcW w:w="630" w:type="dxa"/>
            <w:noWrap w:val="0"/>
            <w:vAlign w:val="center"/>
          </w:tcPr>
          <w:p>
            <w:pPr>
              <w:spacing w:line="240" w:lineRule="exact"/>
              <w:jc w:val="center"/>
              <w:rPr>
                <w:rFonts w:hint="default" w:ascii="Times New Roman" w:hAnsi="Times New Roman" w:eastAsia="宋体" w:cs="Times New Roman"/>
                <w:sz w:val="16"/>
                <w:szCs w:val="16"/>
              </w:rPr>
            </w:pPr>
          </w:p>
        </w:tc>
      </w:tr>
    </w:tbl>
    <w:p>
      <w:pPr>
        <w:pStyle w:val="28"/>
        <w:spacing w:line="528" w:lineRule="atLeast"/>
        <w:ind w:left="24"/>
        <w:jc w:val="center"/>
        <w:textAlignment w:val="baseline"/>
        <w:rPr>
          <w:rFonts w:hint="default" w:ascii="Times New Roman" w:hAnsi="Times New Roman" w:cs="Times New Roman"/>
        </w:rPr>
      </w:pPr>
      <w:r>
        <w:rPr>
          <w:rFonts w:hint="default" w:ascii="Times New Roman" w:hAnsi="Times New Roman" w:eastAsia="方正小标宋简体" w:cs="Times New Roman"/>
          <w:sz w:val="44"/>
          <w:szCs w:val="44"/>
          <w:lang w:val="zh"/>
        </w:rPr>
        <w:t>东莞市</w:t>
      </w:r>
      <w:r>
        <w:rPr>
          <w:rFonts w:hint="eastAsia" w:ascii="Times New Roman" w:hAnsi="Times New Roman" w:eastAsia="方正小标宋简体" w:cs="Times New Roman"/>
          <w:sz w:val="44"/>
          <w:szCs w:val="44"/>
          <w:lang w:val="zh" w:eastAsia="zh-CN"/>
        </w:rPr>
        <w:t>发展和改革局</w:t>
      </w:r>
      <w:r>
        <w:rPr>
          <w:rFonts w:hint="default" w:ascii="Times New Roman" w:hAnsi="Times New Roman" w:eastAsia="方正小标宋简体" w:cs="Times New Roman"/>
          <w:sz w:val="44"/>
          <w:szCs w:val="44"/>
          <w:lang w:val="zh"/>
        </w:rPr>
        <w:t>202</w:t>
      </w:r>
      <w:r>
        <w:rPr>
          <w:rFonts w:hint="default" w:ascii="Times New Roman" w:hAnsi="Times New Roman" w:eastAsia="方正小标宋简体" w:cs="Times New Roman"/>
          <w:sz w:val="44"/>
          <w:szCs w:val="44"/>
        </w:rPr>
        <w:t>5</w:t>
      </w:r>
      <w:r>
        <w:rPr>
          <w:rFonts w:hint="default" w:ascii="Times New Roman" w:hAnsi="Times New Roman" w:eastAsia="方正小标宋简体" w:cs="Times New Roman"/>
          <w:sz w:val="44"/>
          <w:szCs w:val="44"/>
          <w:lang w:val="zh"/>
        </w:rPr>
        <w:t>年度行政许可实施和监督管理情况表</w:t>
      </w:r>
    </w:p>
    <w:p>
      <w:pPr>
        <w:adjustRightInd w:val="0"/>
        <w:snapToGrid w:val="0"/>
        <w:spacing w:line="540" w:lineRule="exact"/>
        <w:jc w:val="center"/>
        <w:rPr>
          <w:rFonts w:hint="default" w:ascii="Times New Roman" w:hAnsi="Times New Roman" w:eastAsia="仿宋_GB2312" w:cs="Times New Roman"/>
          <w:spacing w:val="-40"/>
          <w:kern w:val="52"/>
          <w:szCs w:val="32"/>
        </w:rPr>
      </w:pPr>
    </w:p>
    <w:p>
      <w:pPr>
        <w:pStyle w:val="28"/>
        <w:spacing w:line="216" w:lineRule="atLeast"/>
        <w:ind w:left="4"/>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lang w:val="zh"/>
        </w:rPr>
        <w:t>注： 1. “是否XXXX”的指标项请依据实际情况填写“是”或“否”。</w:t>
      </w:r>
    </w:p>
    <w:p>
      <w:pPr>
        <w:pStyle w:val="28"/>
        <w:spacing w:line="254" w:lineRule="atLeast"/>
        <w:ind w:left="9" w:firstLine="422"/>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lang w:val="zh"/>
        </w:rPr>
        <w:t>2. 全年业务量指市镇两级的业务量。申请量分为受理量和不受理量两个部分，不受理量不计入办结量。办结量＝审批同意量＋审批不同意量＋转报办结量；转报办结的事项是指本单位具有初审权，但最终审批权在上级部门的办结事项；初审后不符合转报要求的量计入不受理量，不计入审批不同意量。转报后的办理结果不需计入审批同意量或审批不同意量。</w:t>
      </w:r>
    </w:p>
    <w:p>
      <w:pPr>
        <w:pStyle w:val="28"/>
        <w:spacing w:line="240" w:lineRule="atLeast"/>
        <w:ind w:firstLine="390" w:firstLineChars="200"/>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lang w:val="zh"/>
        </w:rPr>
        <w:t>3.法定办结期限等时间指标应注明自然日或工作日，如5个工作日。</w:t>
      </w:r>
    </w:p>
    <w:p>
      <w:pPr>
        <w:pStyle w:val="28"/>
        <w:spacing w:before="13" w:line="244" w:lineRule="atLeast"/>
        <w:ind w:right="105" w:firstLine="390" w:firstLineChars="200"/>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rPr>
        <w:t>4</w:t>
      </w:r>
      <w:r>
        <w:rPr>
          <w:rFonts w:hint="default" w:ascii="Times New Roman" w:hAnsi="Times New Roman" w:cs="Times New Roman"/>
          <w:sz w:val="18"/>
          <w:szCs w:val="18"/>
          <w:lang w:val="zh"/>
        </w:rPr>
        <w:t>.监管覆盖率指对从事行政许可事项活动进行监督检查的行政许可对象数量占全部行政许可对象的比例（用“%”表示），监管覆盖率中的全部行政许可对象是指历年来取得行政许可的对象总数。</w:t>
      </w:r>
    </w:p>
    <w:p>
      <w:pPr>
        <w:pStyle w:val="28"/>
        <w:spacing w:line="264" w:lineRule="atLeast"/>
        <w:ind w:firstLine="390" w:firstLineChars="200"/>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rPr>
        <w:t>5</w:t>
      </w:r>
      <w:r>
        <w:rPr>
          <w:rFonts w:hint="default" w:ascii="Times New Roman" w:hAnsi="Times New Roman" w:cs="Times New Roman"/>
          <w:sz w:val="18"/>
          <w:szCs w:val="18"/>
          <w:lang w:val="zh"/>
        </w:rPr>
        <w:t>.调查处理并办结量是指举报投诉的办结量，即调查处理并办结量应少于或等于举报投诉件数。举报投诉指对被许可人从事许可行为的投诉。查处违法违规案件数指对被许可人从事行政许可事项活动中违法违规案件的查处数量。</w:t>
      </w:r>
    </w:p>
    <w:p>
      <w:pPr>
        <w:pStyle w:val="28"/>
        <w:spacing w:line="240" w:lineRule="atLeast"/>
        <w:ind w:firstLine="390" w:firstLineChars="200"/>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rPr>
        <w:t>6</w:t>
      </w:r>
      <w:r>
        <w:rPr>
          <w:rFonts w:hint="default" w:ascii="Times New Roman" w:hAnsi="Times New Roman" w:cs="Times New Roman"/>
          <w:sz w:val="18"/>
          <w:szCs w:val="18"/>
          <w:lang w:val="zh"/>
        </w:rPr>
        <w:t>.如不存在相关情况，请在对应的空格中填写“\” (反斜杠）。</w:t>
      </w:r>
    </w:p>
    <w:p>
      <w:pPr>
        <w:pStyle w:val="28"/>
        <w:spacing w:line="240" w:lineRule="atLeast"/>
        <w:ind w:firstLine="390" w:firstLineChars="200"/>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rPr>
        <w:t>7</w:t>
      </w:r>
      <w:r>
        <w:rPr>
          <w:rFonts w:hint="default" w:ascii="Times New Roman" w:hAnsi="Times New Roman" w:cs="Times New Roman"/>
          <w:sz w:val="18"/>
          <w:szCs w:val="18"/>
          <w:lang w:val="zh"/>
        </w:rPr>
        <w:t>.数据统计时间为202</w:t>
      </w:r>
      <w:r>
        <w:rPr>
          <w:rFonts w:hint="default" w:ascii="Times New Roman" w:hAnsi="Times New Roman" w:cs="Times New Roman"/>
          <w:sz w:val="18"/>
          <w:szCs w:val="18"/>
        </w:rPr>
        <w:t>5</w:t>
      </w:r>
      <w:r>
        <w:rPr>
          <w:rFonts w:hint="default" w:ascii="Times New Roman" w:hAnsi="Times New Roman" w:cs="Times New Roman"/>
          <w:sz w:val="18"/>
          <w:szCs w:val="18"/>
          <w:lang w:val="zh"/>
        </w:rPr>
        <w:t>年</w:t>
      </w:r>
      <w:r>
        <w:rPr>
          <w:rFonts w:hint="default" w:ascii="Times New Roman" w:hAnsi="Times New Roman" w:cs="Times New Roman"/>
          <w:sz w:val="18"/>
          <w:szCs w:val="18"/>
        </w:rPr>
        <w:t>1</w:t>
      </w:r>
      <w:r>
        <w:rPr>
          <w:rFonts w:hint="default" w:ascii="Times New Roman" w:hAnsi="Times New Roman" w:cs="Times New Roman"/>
          <w:sz w:val="18"/>
          <w:szCs w:val="18"/>
          <w:lang w:val="zh"/>
        </w:rPr>
        <w:t>月</w:t>
      </w:r>
      <w:r>
        <w:rPr>
          <w:rFonts w:hint="default" w:ascii="Times New Roman" w:hAnsi="Times New Roman" w:cs="Times New Roman"/>
          <w:sz w:val="18"/>
          <w:szCs w:val="18"/>
        </w:rPr>
        <w:t>1日</w:t>
      </w:r>
      <w:r>
        <w:rPr>
          <w:rFonts w:hint="default" w:ascii="Times New Roman" w:hAnsi="Times New Roman" w:cs="Times New Roman"/>
          <w:sz w:val="18"/>
          <w:szCs w:val="18"/>
          <w:lang w:val="zh"/>
        </w:rPr>
        <w:t>至</w:t>
      </w:r>
      <w:r>
        <w:rPr>
          <w:rFonts w:hint="default" w:ascii="Times New Roman" w:hAnsi="Times New Roman" w:cs="Times New Roman"/>
          <w:sz w:val="18"/>
          <w:szCs w:val="18"/>
        </w:rPr>
        <w:t>2025</w:t>
      </w:r>
      <w:r>
        <w:rPr>
          <w:rFonts w:hint="default" w:ascii="Times New Roman" w:hAnsi="Times New Roman" w:cs="Times New Roman"/>
          <w:sz w:val="18"/>
          <w:szCs w:val="18"/>
          <w:lang w:val="zh"/>
        </w:rPr>
        <w:t>年</w:t>
      </w:r>
      <w:r>
        <w:rPr>
          <w:rFonts w:hint="default" w:ascii="Times New Roman" w:hAnsi="Times New Roman" w:cs="Times New Roman"/>
          <w:sz w:val="18"/>
          <w:szCs w:val="18"/>
        </w:rPr>
        <w:t>12</w:t>
      </w:r>
      <w:r>
        <w:rPr>
          <w:rFonts w:hint="default" w:ascii="Times New Roman" w:hAnsi="Times New Roman" w:cs="Times New Roman"/>
          <w:sz w:val="18"/>
          <w:szCs w:val="18"/>
          <w:lang w:val="zh"/>
        </w:rPr>
        <w:t>月</w:t>
      </w:r>
      <w:r>
        <w:rPr>
          <w:rFonts w:hint="default" w:ascii="Times New Roman" w:hAnsi="Times New Roman" w:cs="Times New Roman"/>
          <w:sz w:val="18"/>
          <w:szCs w:val="18"/>
        </w:rPr>
        <w:t>31日</w:t>
      </w:r>
      <w:r>
        <w:rPr>
          <w:rFonts w:hint="default" w:ascii="Times New Roman" w:hAnsi="Times New Roman" w:cs="Times New Roman"/>
          <w:sz w:val="18"/>
          <w:szCs w:val="18"/>
          <w:lang w:val="zh"/>
        </w:rPr>
        <w:t>。</w:t>
      </w:r>
    </w:p>
    <w:p>
      <w:pPr>
        <w:pStyle w:val="28"/>
        <w:spacing w:line="240" w:lineRule="atLeast"/>
        <w:ind w:firstLine="390" w:firstLineChars="200"/>
        <w:textAlignment w:val="baseline"/>
        <w:rPr>
          <w:rFonts w:hint="default" w:ascii="Times New Roman" w:hAnsi="Times New Roman" w:cs="Times New Roman"/>
        </w:rPr>
        <w:sectPr>
          <w:pgSz w:w="16838" w:h="11906" w:orient="landscape"/>
          <w:pgMar w:top="1588" w:right="1474" w:bottom="1242" w:left="1157" w:header="851" w:footer="1474" w:gutter="0"/>
          <w:cols w:space="720" w:num="1"/>
          <w:docGrid w:type="linesAndChars" w:linePitch="579" w:charSpace="3229"/>
        </w:sectPr>
      </w:pPr>
      <w:r>
        <w:rPr>
          <w:rFonts w:hint="default" w:ascii="Times New Roman" w:hAnsi="Times New Roman" w:cs="Times New Roman"/>
          <w:sz w:val="18"/>
          <w:szCs w:val="18"/>
        </w:rPr>
        <w:t>8</w:t>
      </w:r>
      <w:r>
        <w:rPr>
          <w:rFonts w:hint="default" w:ascii="Times New Roman" w:hAnsi="Times New Roman" w:cs="Times New Roman"/>
          <w:sz w:val="18"/>
          <w:szCs w:val="18"/>
          <w:lang w:val="zh"/>
        </w:rPr>
        <w:t>.若行政许可事项在202</w:t>
      </w:r>
      <w:r>
        <w:rPr>
          <w:rFonts w:hint="default" w:ascii="Times New Roman" w:hAnsi="Times New Roman" w:cs="Times New Roman"/>
          <w:sz w:val="18"/>
          <w:szCs w:val="18"/>
        </w:rPr>
        <w:t>5</w:t>
      </w:r>
      <w:r>
        <w:rPr>
          <w:rFonts w:hint="default" w:ascii="Times New Roman" w:hAnsi="Times New Roman" w:cs="Times New Roman"/>
          <w:sz w:val="18"/>
          <w:szCs w:val="18"/>
          <w:lang w:val="zh"/>
        </w:rPr>
        <w:t>年有调整，如取消、新增、合并或变更事项名称等情况请在备注中说明。详见表格备注栏范例。</w:t>
      </w:r>
    </w:p>
    <w:p>
      <w:pPr>
        <w:adjustRightInd w:val="0"/>
        <w:snapToGrid w:val="0"/>
        <w:spacing w:line="540" w:lineRule="exact"/>
        <w:jc w:val="both"/>
        <w:rPr>
          <w:rFonts w:hint="eastAsia" w:ascii="Times New Roman" w:hAnsi="Times New Roman" w:eastAsia="仿宋_GB2312" w:cs="Times New Roman"/>
          <w:spacing w:val="-40"/>
          <w:kern w:val="52"/>
          <w:szCs w:val="32"/>
        </w:rPr>
      </w:pPr>
    </w:p>
    <w:sectPr>
      <w:footerReference r:id="rId5" w:type="first"/>
      <w:footerReference r:id="rId3" w:type="default"/>
      <w:footerReference r:id="rId4" w:type="even"/>
      <w:pgSz w:w="16838" w:h="11906" w:orient="landscape"/>
      <w:pgMar w:top="1588" w:right="1474" w:bottom="1242" w:left="1154" w:header="851" w:footer="914" w:gutter="0"/>
      <w:cols w:space="720" w:num="1"/>
      <w:titlePg/>
      <w:docGrid w:type="linesAndChars" w:linePitch="579"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509000101010101"/>
    <w:charset w:val="86"/>
    <w:family w:val="modern"/>
    <w:pitch w:val="default"/>
    <w:sig w:usb0="00000283" w:usb1="080F0C00" w:usb2="00000012" w:usb3="00000000" w:csb0="0016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2"/>
      </w:rPr>
    </w:pPr>
    <w:r>
      <w:rPr>
        <w:rStyle w:val="22"/>
        <w:rFonts w:hint="eastAsia"/>
      </w:rPr>
      <w:t>—</w:t>
    </w:r>
    <w:r>
      <w:fldChar w:fldCharType="begin"/>
    </w:r>
    <w:r>
      <w:rPr>
        <w:rStyle w:val="22"/>
      </w:rPr>
      <w:instrText xml:space="preserve">PAGE  </w:instrText>
    </w:r>
    <w:r>
      <w:fldChar w:fldCharType="separate"/>
    </w:r>
    <w:r>
      <w:rPr>
        <w:rStyle w:val="22"/>
      </w:rPr>
      <w:t>3</w:t>
    </w:r>
    <w:r>
      <w:fldChar w:fldCharType="end"/>
    </w:r>
    <w:r>
      <w:rPr>
        <w:rStyle w:val="22"/>
        <w:rFonts w:hint="eastAsia"/>
      </w:rPr>
      <w:t>—</w:t>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notBeside" w:vAnchor="page" w:hAnchor="page" w:x="1479" w:y="15598"/>
      <w:rPr>
        <w:rStyle w:val="22"/>
      </w:rPr>
    </w:pPr>
    <w:r>
      <w:rPr>
        <w:rStyle w:val="22"/>
        <w:rFonts w:hint="eastAsia"/>
      </w:rPr>
      <w:t>—</w:t>
    </w:r>
    <w:r>
      <w:fldChar w:fldCharType="begin"/>
    </w:r>
    <w:r>
      <w:rPr>
        <w:rStyle w:val="22"/>
      </w:rPr>
      <w:instrText xml:space="preserve">PAGE  </w:instrText>
    </w:r>
    <w:r>
      <w:fldChar w:fldCharType="separate"/>
    </w:r>
    <w:r>
      <w:rPr>
        <w:rStyle w:val="22"/>
      </w:rPr>
      <w:t>2</w:t>
    </w:r>
    <w:r>
      <w:fldChar w:fldCharType="end"/>
    </w:r>
    <w:r>
      <w:rPr>
        <w:rStyle w:val="22"/>
        <w:rFonts w:hint="eastAsia"/>
      </w:rPr>
      <w:t>—</w:t>
    </w:r>
  </w:p>
  <w:p>
    <w:pPr>
      <w:pStyle w:val="15"/>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8" w:rightChars="-12"/>
      <w:jc w:val="both"/>
    </w:pPr>
    <w:r>
      <mc:AlternateContent>
        <mc:Choice Requires="wps">
          <w:drawing>
            <wp:anchor distT="0" distB="0" distL="114300" distR="114300" simplePos="0" relativeHeight="251658240" behindDoc="0" locked="1" layoutInCell="1" allowOverlap="1">
              <wp:simplePos x="0" y="0"/>
              <wp:positionH relativeFrom="column">
                <wp:posOffset>-218440</wp:posOffset>
              </wp:positionH>
              <wp:positionV relativeFrom="paragraph">
                <wp:posOffset>36195</wp:posOffset>
              </wp:positionV>
              <wp:extent cx="6047740" cy="635"/>
              <wp:effectExtent l="0" t="0" r="0" b="0"/>
              <wp:wrapNone/>
              <wp:docPr id="1" name="直线 1"/>
              <wp:cNvGraphicFramePr/>
              <a:graphic xmlns:a="http://schemas.openxmlformats.org/drawingml/2006/main">
                <a:graphicData uri="http://schemas.microsoft.com/office/word/2010/wordprocessingShape">
                  <wps:wsp>
                    <wps:cNvCnPr/>
                    <wps:spPr>
                      <a:xfrm>
                        <a:off x="0" y="0"/>
                        <a:ext cx="6047740" cy="635"/>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 o:spid="_x0000_s1026" o:spt="20" style="position:absolute;left:0pt;margin-left:-17.2pt;margin-top:2.85pt;height:0.05pt;width:476.2pt;z-index:251658240;mso-width-relative:page;mso-height-relative:page;" filled="f" stroked="t" coordsize="21600,21600" o:gfxdata="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A&#10;2HPs1QAAAAcBAAAPAAAAAAAAAAEAIAAAADgAAABkcnMvZG93bnJldi54bWxQSwECFAAUAAAACACH&#10;TuJAKT1o4NgBAACZAwAADgAAAAAAAAABACAAAAA6AQAAZHJzL2Uyb0RvYy54bWxQSwUGAAAAAAYA&#10;BgBZAQAAhAUAAAAA&#10;">
              <v:fill on="f" focussize="0,0"/>
              <v:stroke weight="4.5pt" color="#FF0000" linestyle="thinThick" joinstyle="round"/>
              <v:imagedata o:title=""/>
              <o:lock v:ext="edit" aspectratio="f"/>
              <w10:anchorlock/>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F7830"/>
    <w:multiLevelType w:val="singleLevel"/>
    <w:tmpl w:val="EBDF7830"/>
    <w:lvl w:ilvl="0" w:tentative="0">
      <w:start w:val="2"/>
      <w:numFmt w:val="chineseCounting"/>
      <w:suff w:val="nothing"/>
      <w:lvlText w:val="%1、"/>
      <w:lvlJc w:val="left"/>
      <w:rPr>
        <w:rFonts w:hint="eastAsia"/>
      </w:rPr>
    </w:lvl>
  </w:abstractNum>
  <w:abstractNum w:abstractNumId="1">
    <w:nsid w:val="00000002"/>
    <w:multiLevelType w:val="multilevel"/>
    <w:tmpl w:val="00000002"/>
    <w:lvl w:ilvl="0" w:tentative="0">
      <w:start w:val="1"/>
      <w:numFmt w:val="none"/>
      <w:pStyle w:val="4"/>
      <w:suff w:val="nothing"/>
      <w:lvlText w:val=""/>
      <w:lvlJc w:val="left"/>
    </w:lvl>
    <w:lvl w:ilvl="1" w:tentative="0">
      <w:start w:val="0"/>
      <w:numFmt w:val="decimal"/>
      <w:pStyle w:val="5"/>
      <w:lvlText w:val="%2"/>
      <w:legacy w:legacy="1" w:legacySpace="0" w:legacyIndent="0"/>
      <w:lvlJc w:val="left"/>
      <w:rPr>
        <w:rFonts w:hint="eastAsia" w:ascii="宋体" w:eastAsia="宋体"/>
      </w:rPr>
    </w:lvl>
    <w:lvl w:ilvl="2" w:tentative="0">
      <w:start w:val="0"/>
      <w:numFmt w:val="decimal"/>
      <w:pStyle w:val="6"/>
      <w:lvlText w:val="%3"/>
      <w:legacy w:legacy="1" w:legacySpace="0" w:legacyIndent="0"/>
      <w:lvlJc w:val="left"/>
      <w:rPr>
        <w:rFonts w:hint="eastAsia" w:ascii="宋体" w:eastAsia="宋体"/>
      </w:rPr>
    </w:lvl>
    <w:lvl w:ilvl="3" w:tentative="0">
      <w:start w:val="0"/>
      <w:numFmt w:val="decimal"/>
      <w:pStyle w:val="7"/>
      <w:lvlText w:val="%4"/>
      <w:legacy w:legacy="1" w:legacySpace="0" w:legacyIndent="0"/>
      <w:lvlJc w:val="left"/>
      <w:rPr>
        <w:rFonts w:hint="eastAsia" w:ascii="宋体" w:eastAsia="宋体"/>
      </w:rPr>
    </w:lvl>
    <w:lvl w:ilvl="4" w:tentative="0">
      <w:start w:val="0"/>
      <w:numFmt w:val="decimal"/>
      <w:pStyle w:val="8"/>
      <w:lvlText w:val="%5"/>
      <w:legacy w:legacy="1" w:legacySpace="0" w:legacyIndent="0"/>
      <w:lvlJc w:val="left"/>
      <w:rPr>
        <w:rFonts w:hint="eastAsia" w:ascii="宋体" w:eastAsia="宋体"/>
      </w:rPr>
    </w:lvl>
    <w:lvl w:ilvl="5" w:tentative="0">
      <w:start w:val="0"/>
      <w:numFmt w:val="decimal"/>
      <w:pStyle w:val="9"/>
      <w:lvlText w:val="%6"/>
      <w:legacy w:legacy="1" w:legacySpace="0" w:legacyIndent="0"/>
      <w:lvlJc w:val="left"/>
      <w:rPr>
        <w:rFonts w:hint="eastAsia" w:ascii="宋体" w:eastAsia="宋体"/>
      </w:rPr>
    </w:lvl>
    <w:lvl w:ilvl="6" w:tentative="0">
      <w:start w:val="0"/>
      <w:numFmt w:val="decimal"/>
      <w:pStyle w:val="10"/>
      <w:lvlText w:val="%7"/>
      <w:legacy w:legacy="1" w:legacySpace="0" w:legacyIndent="0"/>
      <w:lvlJc w:val="left"/>
      <w:rPr>
        <w:rFonts w:hint="eastAsia" w:ascii="宋体" w:eastAsia="宋体"/>
      </w:rPr>
    </w:lvl>
    <w:lvl w:ilvl="7" w:tentative="0">
      <w:start w:val="0"/>
      <w:numFmt w:val="decimal"/>
      <w:pStyle w:val="11"/>
      <w:lvlText w:val="%8"/>
      <w:legacy w:legacy="1" w:legacySpace="0" w:legacyIndent="0"/>
      <w:lvlJc w:val="left"/>
      <w:rPr>
        <w:rFonts w:hint="eastAsia" w:ascii="宋体" w:eastAsia="宋体"/>
      </w:rPr>
    </w:lvl>
    <w:lvl w:ilvl="8" w:tentative="0">
      <w:start w:val="0"/>
      <w:numFmt w:val="decimal"/>
      <w:pStyle w:val="12"/>
      <w:lvlText w:val="%9"/>
      <w:legacy w:legacy="1" w:legacySpace="0" w:legacyIndent="0"/>
      <w:lvlJc w:val="left"/>
      <w:rPr>
        <w:rFonts w:hint="eastAsia" w:ascii="宋体" w:eastAsia="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72"/>
  <w:drawingGridVerticalSpacing w:val="579"/>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MWFkMjBmM2U0NzI1MjYzY2ZjMzgzNWI5Mzc5MWEifQ=="/>
    <w:docVar w:name="FlCopySend" w:val="  "/>
    <w:docVar w:name="FlELevel" w:val="  "/>
    <w:docVar w:name="FlFileSerial" w:val="  "/>
    <w:docVar w:name="FlFileSerial_T" w:val="  "/>
    <w:docVar w:name="FlFileYear" w:val="2012"/>
    <w:docVar w:name="FlKeyWord" w:val=" △ "/>
    <w:docVar w:name="FlMainSend" w:val="测试"/>
    <w:docVar w:name="FlPrintTime" w:val="2012年  月  日印发"/>
    <w:docVar w:name="FlSendTime" w:val="二〇一二年   月   日"/>
    <w:docVar w:name="FlSendTime_1" w:val="2012年  月  日"/>
    <w:docVar w:name="FlSendTime_Num" w:val="2012年  月  日"/>
    <w:docVar w:name="FlSignOrg" w:val="办公室"/>
    <w:docVar w:name="FlSignOrg_Dept" w:val="  "/>
    <w:docVar w:name="FlSubject" w:val="测试"/>
    <w:docVar w:name="KSO_WPS_MARK_KEY" w:val="5a398e9d-521d-4c66-8f61-c8b3d61a6796"/>
    <w:docVar w:name="LeaderSign" w:val="  "/>
  </w:docVars>
  <w:rsids>
    <w:rsidRoot w:val="00172A27"/>
    <w:rsid w:val="00237D8E"/>
    <w:rsid w:val="00375515"/>
    <w:rsid w:val="00486717"/>
    <w:rsid w:val="007C2733"/>
    <w:rsid w:val="00CC3C27"/>
    <w:rsid w:val="00E34C56"/>
    <w:rsid w:val="042D006E"/>
    <w:rsid w:val="0921536C"/>
    <w:rsid w:val="0B7B7B45"/>
    <w:rsid w:val="10E863E6"/>
    <w:rsid w:val="13DC4432"/>
    <w:rsid w:val="15976FAE"/>
    <w:rsid w:val="18B933F6"/>
    <w:rsid w:val="1B397790"/>
    <w:rsid w:val="1BE6395F"/>
    <w:rsid w:val="1E3231F1"/>
    <w:rsid w:val="2FCB549C"/>
    <w:rsid w:val="33BACE8B"/>
    <w:rsid w:val="347E3D60"/>
    <w:rsid w:val="398428D3"/>
    <w:rsid w:val="3C035497"/>
    <w:rsid w:val="3DECA6F0"/>
    <w:rsid w:val="40A51A2E"/>
    <w:rsid w:val="52445B03"/>
    <w:rsid w:val="5D45ACF9"/>
    <w:rsid w:val="69CC1B29"/>
    <w:rsid w:val="6B7D2898"/>
    <w:rsid w:val="75164F4A"/>
    <w:rsid w:val="7BBE7DCD"/>
    <w:rsid w:val="7EDFD932"/>
    <w:rsid w:val="B3372325"/>
    <w:rsid w:val="BFFFF33F"/>
    <w:rsid w:val="DBFD990E"/>
    <w:rsid w:val="DDDA3107"/>
    <w:rsid w:val="DE7E7F55"/>
    <w:rsid w:val="DED56D89"/>
    <w:rsid w:val="DEFFE13D"/>
    <w:rsid w:val="DFDF20F0"/>
    <w:rsid w:val="ED1BA948"/>
    <w:rsid w:val="EFEBE3B9"/>
    <w:rsid w:val="F02F06AB"/>
    <w:rsid w:val="F9FCE0D1"/>
    <w:rsid w:val="FBF94B49"/>
    <w:rsid w:val="FEEF6E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5">
    <w:name w:val="heading 2"/>
    <w:basedOn w:val="1"/>
    <w:next w:val="1"/>
    <w:qFormat/>
    <w:uiPriority w:val="0"/>
    <w:pPr>
      <w:keepNext/>
      <w:keepLines/>
      <w:widowControl/>
      <w:numPr>
        <w:ilvl w:val="1"/>
        <w:numId w:val="1"/>
      </w:numPr>
      <w:adjustRightInd w:val="0"/>
      <w:spacing w:before="260" w:beforeLines="0" w:after="260" w:afterLines="0" w:line="416" w:lineRule="atLeast"/>
      <w:textAlignment w:val="baseline"/>
      <w:outlineLvl w:val="1"/>
    </w:pPr>
    <w:rPr>
      <w:rFonts w:ascii="Arial" w:hAnsi="Arial" w:eastAsia="黑体"/>
      <w:b/>
      <w:kern w:val="0"/>
      <w:szCs w:val="20"/>
    </w:rPr>
  </w:style>
  <w:style w:type="paragraph" w:styleId="6">
    <w:name w:val="heading 3"/>
    <w:basedOn w:val="1"/>
    <w:next w:val="1"/>
    <w:qFormat/>
    <w:uiPriority w:val="0"/>
    <w:pPr>
      <w:keepNext/>
      <w:keepLines/>
      <w:widowControl/>
      <w:numPr>
        <w:ilvl w:val="2"/>
        <w:numId w:val="1"/>
      </w:numPr>
      <w:adjustRightInd w:val="0"/>
      <w:spacing w:before="260" w:beforeLines="0" w:after="260" w:afterLines="0" w:line="416" w:lineRule="atLeast"/>
      <w:textAlignment w:val="baseline"/>
      <w:outlineLvl w:val="2"/>
    </w:pPr>
    <w:rPr>
      <w:b/>
      <w:kern w:val="0"/>
      <w:szCs w:val="20"/>
    </w:rPr>
  </w:style>
  <w:style w:type="paragraph" w:styleId="7">
    <w:name w:val="heading 4"/>
    <w:basedOn w:val="1"/>
    <w:next w:val="1"/>
    <w:qFormat/>
    <w:uiPriority w:val="0"/>
    <w:pPr>
      <w:keepNext/>
      <w:keepLines/>
      <w:widowControl/>
      <w:numPr>
        <w:ilvl w:val="3"/>
        <w:numId w:val="1"/>
      </w:numPr>
      <w:adjustRightInd w:val="0"/>
      <w:spacing w:before="280" w:beforeLines="0" w:after="290" w:afterLines="0" w:line="376" w:lineRule="atLeast"/>
      <w:textAlignment w:val="baseline"/>
      <w:outlineLvl w:val="3"/>
    </w:pPr>
    <w:rPr>
      <w:rFonts w:ascii="Arial" w:hAnsi="Arial" w:eastAsia="黑体"/>
      <w:b/>
      <w:kern w:val="0"/>
      <w:sz w:val="28"/>
      <w:szCs w:val="20"/>
    </w:rPr>
  </w:style>
  <w:style w:type="paragraph" w:styleId="8">
    <w:name w:val="heading 5"/>
    <w:basedOn w:val="1"/>
    <w:next w:val="1"/>
    <w:qFormat/>
    <w:uiPriority w:val="0"/>
    <w:pPr>
      <w:keepNext/>
      <w:keepLines/>
      <w:widowControl/>
      <w:numPr>
        <w:ilvl w:val="4"/>
        <w:numId w:val="1"/>
      </w:numPr>
      <w:adjustRightInd w:val="0"/>
      <w:spacing w:before="280" w:beforeLines="0" w:after="290" w:afterLines="0" w:line="376" w:lineRule="atLeast"/>
      <w:textAlignment w:val="baseline"/>
      <w:outlineLvl w:val="4"/>
    </w:pPr>
    <w:rPr>
      <w:b/>
      <w:kern w:val="0"/>
      <w:sz w:val="28"/>
      <w:szCs w:val="20"/>
    </w:rPr>
  </w:style>
  <w:style w:type="paragraph" w:styleId="9">
    <w:name w:val="heading 6"/>
    <w:basedOn w:val="1"/>
    <w:next w:val="1"/>
    <w:qFormat/>
    <w:uiPriority w:val="0"/>
    <w:pPr>
      <w:keepNext/>
      <w:keepLines/>
      <w:widowControl/>
      <w:numPr>
        <w:ilvl w:val="5"/>
        <w:numId w:val="1"/>
      </w:numPr>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10">
    <w:name w:val="heading 7"/>
    <w:basedOn w:val="1"/>
    <w:next w:val="1"/>
    <w:qFormat/>
    <w:uiPriority w:val="0"/>
    <w:pPr>
      <w:keepNext/>
      <w:keepLines/>
      <w:widowControl/>
      <w:numPr>
        <w:ilvl w:val="6"/>
        <w:numId w:val="1"/>
      </w:numPr>
      <w:adjustRightInd w:val="0"/>
      <w:spacing w:before="240" w:beforeLines="0" w:after="64" w:afterLines="0" w:line="320" w:lineRule="atLeast"/>
      <w:textAlignment w:val="baseline"/>
      <w:outlineLvl w:val="6"/>
    </w:pPr>
    <w:rPr>
      <w:b/>
      <w:kern w:val="0"/>
      <w:sz w:val="24"/>
      <w:szCs w:val="20"/>
    </w:rPr>
  </w:style>
  <w:style w:type="paragraph" w:styleId="11">
    <w:name w:val="heading 8"/>
    <w:basedOn w:val="1"/>
    <w:next w:val="1"/>
    <w:qFormat/>
    <w:uiPriority w:val="0"/>
    <w:pPr>
      <w:keepNext/>
      <w:keepLines/>
      <w:widowControl/>
      <w:numPr>
        <w:ilvl w:val="7"/>
        <w:numId w:val="1"/>
      </w:numPr>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2">
    <w:name w:val="heading 9"/>
    <w:basedOn w:val="1"/>
    <w:next w:val="1"/>
    <w:qFormat/>
    <w:uiPriority w:val="0"/>
    <w:pPr>
      <w:keepNext/>
      <w:keepLines/>
      <w:widowControl/>
      <w:numPr>
        <w:ilvl w:val="8"/>
        <w:numId w:val="1"/>
      </w:numPr>
      <w:adjustRightInd w:val="0"/>
      <w:spacing w:before="240" w:beforeLines="0" w:after="64" w:afterLines="0" w:line="320" w:lineRule="atLeast"/>
      <w:textAlignment w:val="baseline"/>
      <w:outlineLvl w:val="8"/>
    </w:pPr>
    <w:rPr>
      <w:rFonts w:ascii="Arial" w:hAnsi="Arial" w:eastAsia="黑体"/>
      <w:kern w:val="0"/>
      <w:sz w:val="21"/>
      <w:szCs w:val="20"/>
    </w:rPr>
  </w:style>
  <w:style w:type="character" w:default="1" w:styleId="20">
    <w:name w:val="Default Paragraph Font"/>
    <w:qFormat/>
    <w:uiPriority w:val="0"/>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w:basedOn w:val="2"/>
    <w:unhideWhenUsed/>
    <w:qFormat/>
    <w:uiPriority w:val="99"/>
    <w:pPr>
      <w:ind w:firstLine="480"/>
    </w:pPr>
  </w:style>
  <w:style w:type="paragraph" w:styleId="13">
    <w:name w:val="Normal Indent"/>
    <w:basedOn w:val="1"/>
    <w:qFormat/>
    <w:uiPriority w:val="0"/>
    <w:pPr>
      <w:ind w:firstLine="420" w:firstLineChars="200"/>
    </w:pPr>
  </w:style>
  <w:style w:type="paragraph" w:styleId="14">
    <w:name w:val="Date"/>
    <w:basedOn w:val="1"/>
    <w:next w:val="1"/>
    <w:qFormat/>
    <w:uiPriority w:val="0"/>
    <w:pPr>
      <w:ind w:left="100" w:leftChars="2500"/>
    </w:pPr>
  </w:style>
  <w:style w:type="paragraph" w:styleId="15">
    <w:name w:val="footer"/>
    <w:basedOn w:val="1"/>
    <w:qFormat/>
    <w:uiPriority w:val="0"/>
    <w:pPr>
      <w:tabs>
        <w:tab w:val="center" w:leader="hyphen" w:pos="4153"/>
        <w:tab w:val="right" w:pos="8306"/>
      </w:tabs>
      <w:snapToGrid w:val="0"/>
      <w:jc w:val="right"/>
    </w:pPr>
    <w:rPr>
      <w:sz w:val="28"/>
      <w:szCs w:val="18"/>
    </w:rPr>
  </w:style>
  <w:style w:type="paragraph" w:styleId="16">
    <w:name w:val="header"/>
    <w:basedOn w:val="1"/>
    <w:qFormat/>
    <w:uiPriority w:val="0"/>
    <w:pPr>
      <w:tabs>
        <w:tab w:val="center" w:pos="4153"/>
        <w:tab w:val="right" w:pos="8306"/>
      </w:tabs>
      <w:snapToGrid w:val="0"/>
      <w:jc w:val="center"/>
    </w:pPr>
    <w:rPr>
      <w:sz w:val="18"/>
      <w:szCs w:val="18"/>
    </w:rPr>
  </w:style>
  <w:style w:type="paragraph" w:styleId="17">
    <w:name w:val="Normal (Web)"/>
    <w:basedOn w:val="1"/>
    <w:qFormat/>
    <w:uiPriority w:val="0"/>
    <w:rPr>
      <w:sz w:val="24"/>
    </w:rPr>
  </w:style>
  <w:style w:type="paragraph" w:styleId="18">
    <w:name w:val="Title"/>
    <w:basedOn w:val="1"/>
    <w:qFormat/>
    <w:uiPriority w:val="0"/>
    <w:pPr>
      <w:spacing w:before="240" w:beforeLines="0" w:after="60" w:afterLines="0"/>
      <w:jc w:val="center"/>
      <w:outlineLvl w:val="0"/>
    </w:pPr>
    <w:rPr>
      <w:rFonts w:eastAsia="华康简标题宋" w:cs="Arial"/>
      <w:bCs/>
      <w:sz w:val="44"/>
      <w:szCs w:val="32"/>
    </w:rPr>
  </w:style>
  <w:style w:type="character" w:styleId="21">
    <w:name w:val="Strong"/>
    <w:basedOn w:val="20"/>
    <w:qFormat/>
    <w:uiPriority w:val="0"/>
    <w:rPr>
      <w:b/>
    </w:rPr>
  </w:style>
  <w:style w:type="character" w:styleId="22">
    <w:name w:val="page number"/>
    <w:basedOn w:val="20"/>
    <w:qFormat/>
    <w:uiPriority w:val="0"/>
    <w:rPr>
      <w:rFonts w:ascii="Times New Roman" w:hAnsi="Times New Roman" w:eastAsia="仿宋_GB2312"/>
      <w:sz w:val="28"/>
      <w:lang w:eastAsia="zh-CN"/>
    </w:rPr>
  </w:style>
  <w:style w:type="character" w:styleId="23">
    <w:name w:val="Hyperlink"/>
    <w:basedOn w:val="20"/>
    <w:qFormat/>
    <w:uiPriority w:val="0"/>
    <w:rPr>
      <w:color w:val="0000FF"/>
      <w:u w:val="single"/>
    </w:rPr>
  </w:style>
  <w:style w:type="paragraph" w:customStyle="1" w:styleId="24">
    <w:name w:val="默认段落字体 Para Char Char Char Char Char Char Char Char Char Char"/>
    <w:basedOn w:val="1"/>
    <w:qFormat/>
    <w:uiPriority w:val="0"/>
    <w:pPr>
      <w:adjustRightInd w:val="0"/>
      <w:spacing w:line="360" w:lineRule="auto"/>
    </w:pPr>
    <w:rPr>
      <w:rFonts w:eastAsia="宋体"/>
      <w:kern w:val="0"/>
      <w:sz w:val="24"/>
      <w:szCs w:val="20"/>
    </w:rPr>
  </w:style>
  <w:style w:type="paragraph" w:customStyle="1" w:styleId="25">
    <w:name w:val="Char"/>
    <w:basedOn w:val="1"/>
    <w:qFormat/>
    <w:uiPriority w:val="0"/>
    <w:pPr>
      <w:widowControl/>
      <w:spacing w:after="160" w:afterLines="0" w:line="240" w:lineRule="exact"/>
      <w:jc w:val="left"/>
    </w:pPr>
    <w:rPr>
      <w:rFonts w:ascii="Verdana" w:hAnsi="Verdana"/>
      <w:kern w:val="0"/>
      <w:sz w:val="24"/>
      <w:szCs w:val="20"/>
      <w:lang w:eastAsia="en-US"/>
    </w:rPr>
  </w:style>
  <w:style w:type="paragraph" w:customStyle="1" w:styleId="26">
    <w:name w:val=" Char Char Char Char"/>
    <w:basedOn w:val="1"/>
    <w:qFormat/>
    <w:uiPriority w:val="0"/>
    <w:pPr>
      <w:widowControl/>
      <w:spacing w:after="160" w:afterLines="0" w:line="240" w:lineRule="exact"/>
      <w:jc w:val="left"/>
    </w:pPr>
    <w:rPr>
      <w:rFonts w:ascii="Verdana" w:hAnsi="Verdana"/>
      <w:kern w:val="0"/>
      <w:sz w:val="24"/>
      <w:szCs w:val="20"/>
      <w:lang w:eastAsia="en-US"/>
    </w:rPr>
  </w:style>
  <w:style w:type="paragraph" w:customStyle="1" w:styleId="27">
    <w:name w:val="p0"/>
    <w:basedOn w:val="1"/>
    <w:qFormat/>
    <w:uiPriority w:val="0"/>
    <w:pPr>
      <w:widowControl/>
    </w:pPr>
    <w:rPr>
      <w:rFonts w:eastAsia="宋体"/>
      <w:kern w:val="0"/>
      <w:szCs w:val="32"/>
    </w:rPr>
  </w:style>
  <w:style w:type="paragraph" w:customStyle="1" w:styleId="28">
    <w:name w:val="Styl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19996;&#24220;&#21150;&#20989;&#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东府办函模板</Template>
  <Company>dgcc</Company>
  <Pages>12</Pages>
  <Words>4108</Words>
  <Characters>4438</Characters>
  <Lines>10</Lines>
  <Paragraphs>2</Paragraphs>
  <TotalTime>2</TotalTime>
  <ScaleCrop>false</ScaleCrop>
  <LinksUpToDate>false</LinksUpToDate>
  <CharactersWithSpaces>4501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2012-11-17T11:07:00Z</dcterms:created>
  <dc:creator>微软用户</dc:creator>
  <cp:lastModifiedBy>陈桂珠</cp:lastModifiedBy>
  <cp:lastPrinted>2011-06-18T01:37:00Z</cp:lastPrinted>
  <dcterms:modified xsi:type="dcterms:W3CDTF">2026-03-30T15:08:14Z</dcterms:modified>
  <dc:title>东莞市人民政府办公室</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78520FA4C0AC491480929114190DE526</vt:lpwstr>
  </property>
</Properties>
</file>