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101"/>
        <w:gridCol w:w="1992"/>
        <w:gridCol w:w="1992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东莞市低空经济应用场景案例征集表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 系  人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场景属性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R</w:t>
            </w:r>
            <w:r>
              <w:rPr>
                <w:rStyle w:val="5"/>
                <w:lang w:val="en-US" w:eastAsia="zh-CN" w:bidi="ar"/>
              </w:rPr>
              <w:t xml:space="preserve">  政务服务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 公共服务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 xml:space="preserve">  商业服务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6"/>
                <w:lang w:val="en-US" w:eastAsia="zh-CN" w:bidi="ar"/>
              </w:rPr>
              <w:t xml:space="preserve"> 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4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场景特征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常态化飞行：是/否</w:t>
            </w:r>
          </w:p>
        </w:tc>
        <w:tc>
          <w:tcPr>
            <w:tcW w:w="27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频次：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>天（  ）次；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>周（  ）次；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>月（  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场景介绍</w:t>
            </w:r>
          </w:p>
        </w:tc>
        <w:tc>
          <w:tcPr>
            <w:tcW w:w="4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【场景要求：提供的场景最好常态化、可闭环的场景。】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【参考，不限于】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随着城市化进程的加快，XXX高新区在城市管理面临的挑战日益复杂，例如违建管控、市容管理、环境卫生等诸多基层治理难题，传统的管理手段已难以满足城市精细化管理需求。 2024年9月，高新区部署7套无人机智能机库，成为全市首个低空遥感试点区域。截至2025年8月，建立示范应用场景，在应急指挥调度、森防巡查、国土巡查、生态环保，工程建设、水库巡查和海域巡查等场景中发挥了重点作用，应用试点超过:20个月，无人机飞行共 2900+架次，飞行时长:1010+小时，飞行里程:13000+公里，拍摄照片:113800+张，视频:3300+条，成为我区低空经济发展的一大亮点。在巡查中发现存在的问题，上报给相关部门，由相关部门进行跟进处置，处理完成后通过无人机进行复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特色亮点</w:t>
            </w:r>
          </w:p>
        </w:tc>
        <w:tc>
          <w:tcPr>
            <w:tcW w:w="4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【参考，不限于】一是执法取证提质增效。利用无人机空中侦察优势，对违法建设、绿地管养、建废偷倒等问题进行多维度、全覆盖取证，有效克服地理条件限制，解决传统取证手段视角局限:前后对比不明显等问题，更加全面直观掌握现场地理位置和问题情况。二是突破时间、空间盲区限制。针对夜间执法巡查场景，运用无人机红外夜间航拍取证，依托白云智慧城管系统工单平台推送至属地执法办进行处置，有效消除时间，空间盲区，解决重点区域建筑工地夜施、主干道周边凌晨占道经营等监管难题。三是强化问题反馈时效性。无人机结合自动识别算法实现智能抓拍市容环境卫生问题线索，依托北斗星地融合增强定位技术，精准定位问题地点，实时推送工单至属地标段负责人整改，形成工作流程闭环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应用成效</w:t>
            </w:r>
          </w:p>
        </w:tc>
        <w:tc>
          <w:tcPr>
            <w:tcW w:w="4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【参考，不限于】一是大型户外广告招牌监测。对110个商业面积1万平方米以上已规划的户外广告点位进行落图，其中24个位于建机场范围内。对百信广场、白云汇等大型商业综合体告招牌进行空中监测，提取了违规新增、广告页面破损等问题 25 余宗，全力守护群众“头顶上的安全感”。二是违法建设查控实施。现已建设完成的8个无人机机场，平均每天每个机巢监测 15 平方千米，建立并完善“无人机+AI”低空巡检违建模式,坚决遏制新增，有序消化存量，共计巡飞监测超60期，工单推送至镇街核查处置，确保新增违建线索快速处理。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图片或视频</w:t>
            </w:r>
          </w:p>
        </w:tc>
        <w:tc>
          <w:tcPr>
            <w:tcW w:w="4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无人机在飞行过程中的拍摄到的问题取证图片（3张清晰图）或视频。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4A7F4B"/>
    <w:rsid w:val="59AF6467"/>
    <w:rsid w:val="7FF60D3E"/>
    <w:rsid w:val="D70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2026-05-21T17:11:00Z</dcterms:created>
  <dc:creator>一达</dc:creator>
  <cp:lastModifiedBy>张国胜</cp:lastModifiedBy>
  <dcterms:modified xsi:type="dcterms:W3CDTF">2026-05-25T21:03:36Z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19F62BEB4E4546339019475B8163D138_13</vt:lpwstr>
  </property>
  <property fmtid="{D5CDD505-2E9C-101B-9397-08002B2CF9AE}" pid="4" name="KSOTemplateDocerSaveRecord">
    <vt:lpwstr>eyJoZGlkIjoiM2ZjMmI1OTc3NGI5Y2JiNzA2ZmVjOWRmZjhhMmExNjQiLCJ1c2VySWQiOiI1MTM5NTQyOTUifQ==</vt:lpwstr>
  </property>
</Properties>
</file>